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2301" w14:textId="77777777" w:rsidR="002635A5" w:rsidRPr="00521B0F" w:rsidRDefault="002635A5" w:rsidP="002635A5">
      <w:pPr>
        <w:pStyle w:val="Obsah1"/>
        <w:tabs>
          <w:tab w:val="right" w:leader="dot" w:pos="9068"/>
        </w:tabs>
        <w:rPr>
          <w:rFonts w:ascii="Georgia" w:eastAsiaTheme="minorEastAsia" w:hAnsi="Georgia" w:cs="Arial"/>
          <w:b w:val="0"/>
          <w:noProof/>
          <w:color w:val="447FC1"/>
          <w:sz w:val="22"/>
        </w:rPr>
      </w:pPr>
      <w:hyperlink w:anchor="_Toc160106783" w:history="1">
        <w:r w:rsidRPr="00521B0F">
          <w:rPr>
            <w:rStyle w:val="Hypertextovodkaz"/>
            <w:rFonts w:ascii="Georgia" w:hAnsi="Georgia" w:cs="Arial"/>
            <w:noProof/>
            <w:color w:val="447FC1"/>
            <w:u w:val="none"/>
          </w:rPr>
          <w:t>A. Personální podpora</w:t>
        </w:r>
      </w:hyperlink>
    </w:p>
    <w:p w14:paraId="24D89C44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784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A1 Asistent pedagoga pro žáky se sociálním znevýhodněním</w:t>
        </w:r>
      </w:hyperlink>
    </w:p>
    <w:p w14:paraId="24EFB60F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785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A2 Školní speciální pedagog</w:t>
        </w:r>
      </w:hyperlink>
    </w:p>
    <w:p w14:paraId="1B281503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786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A3 Školní sociální pedagog</w:t>
        </w:r>
      </w:hyperlink>
    </w:p>
    <w:p w14:paraId="6BBACEB8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787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A4 Kariérový poradce</w:t>
        </w:r>
      </w:hyperlink>
    </w:p>
    <w:p w14:paraId="78995AFE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788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A5 Školní psycholog</w:t>
        </w:r>
      </w:hyperlink>
    </w:p>
    <w:p w14:paraId="2E44CB52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789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A6 Koordinátor inkluze</w:t>
        </w:r>
      </w:hyperlink>
    </w:p>
    <w:p w14:paraId="2038C4CF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790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A7 Adaptační koordinátor</w:t>
        </w:r>
      </w:hyperlink>
    </w:p>
    <w:p w14:paraId="3CE2FFA2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791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A8</w:t>
        </w:r>
        <w:r w:rsidRPr="00521B0F">
          <w:rPr>
            <w:rStyle w:val="Hypertextovodkaz"/>
            <w:rFonts w:ascii="Arial" w:hAnsi="Arial" w:cs="Arial"/>
            <w:i/>
            <w:noProof/>
            <w:color w:val="09296D"/>
            <w:u w:val="none"/>
          </w:rPr>
          <w:t xml:space="preserve"> </w:t>
        </w:r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Pracovník volnočasových aktivit</w:t>
        </w:r>
      </w:hyperlink>
    </w:p>
    <w:p w14:paraId="6B75B9CC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792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A9 Koordinátor mentorského programu pro žáky</w:t>
        </w:r>
      </w:hyperlink>
    </w:p>
    <w:p w14:paraId="1E65C00C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793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A10 Tandemový učitel</w:t>
        </w:r>
      </w:hyperlink>
    </w:p>
    <w:p w14:paraId="4085466E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hAnsi="Arial" w:cs="Arial"/>
          <w:noProof/>
          <w:color w:val="09296D"/>
        </w:rPr>
      </w:pPr>
      <w:hyperlink w:anchor="_Toc160106794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A11 Financování již existující personální podpory žáků se sociálním znevýhodněním</w:t>
        </w:r>
      </w:hyperlink>
    </w:p>
    <w:p w14:paraId="53EBBB08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</w:p>
    <w:p w14:paraId="15731047" w14:textId="77777777" w:rsidR="002635A5" w:rsidRPr="00521B0F" w:rsidRDefault="002635A5" w:rsidP="002635A5">
      <w:pPr>
        <w:pStyle w:val="Obsah1"/>
        <w:tabs>
          <w:tab w:val="right" w:leader="dot" w:pos="9068"/>
        </w:tabs>
        <w:rPr>
          <w:rFonts w:ascii="Georgia" w:eastAsiaTheme="minorEastAsia" w:hAnsi="Georgia" w:cs="Arial"/>
          <w:b w:val="0"/>
          <w:noProof/>
          <w:color w:val="447FC1"/>
          <w:sz w:val="22"/>
        </w:rPr>
      </w:pPr>
      <w:hyperlink w:anchor="_Toc160106795" w:history="1">
        <w:r w:rsidRPr="00521B0F">
          <w:rPr>
            <w:rStyle w:val="Hypertextovodkaz"/>
            <w:rFonts w:ascii="Georgia" w:hAnsi="Georgia" w:cs="Arial"/>
            <w:noProof/>
            <w:color w:val="447FC1"/>
            <w:u w:val="none"/>
          </w:rPr>
          <w:t>B. Přímá podpora žáků</w:t>
        </w:r>
      </w:hyperlink>
    </w:p>
    <w:p w14:paraId="7A443C9F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796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B1 Pedagogická intervence – doučování</w:t>
        </w:r>
      </w:hyperlink>
    </w:p>
    <w:p w14:paraId="26D68EE2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797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B2 Doučování v době školních prázdnin</w:t>
        </w:r>
      </w:hyperlink>
    </w:p>
    <w:p w14:paraId="103435F7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798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B3 Pedagogická intervence se zaměřením na podporu rané adaptace žáků</w:t>
        </w:r>
      </w:hyperlink>
    </w:p>
    <w:p w14:paraId="3E07119B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799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B4 Psychosociální intervence, podpora duševního zdraví dětí a žáků, preventivní práce</w:t>
        </w:r>
      </w:hyperlink>
    </w:p>
    <w:p w14:paraId="303B4F16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800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B5 Case management</w:t>
        </w:r>
      </w:hyperlink>
    </w:p>
    <w:p w14:paraId="6E55C86B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801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B6 Vzdělávací akce pro žáky se zaměřením na zvyšování jejich studijní motivace; adaptační, socializační aktivita</w:t>
        </w:r>
      </w:hyperlink>
    </w:p>
    <w:p w14:paraId="6BF6B15F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802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B7 Zážitkový vzdělávací program pro žáky</w:t>
        </w:r>
      </w:hyperlink>
    </w:p>
    <w:p w14:paraId="71FF7721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803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B8 Snídaňové kluby pro žáky</w:t>
        </w:r>
      </w:hyperlink>
    </w:p>
    <w:p w14:paraId="708A234C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804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B9 Školní akce zaměřená na posílení spolupráce s rodiči žáků se sociálním znevýhodněním</w:t>
        </w:r>
      </w:hyperlink>
    </w:p>
    <w:p w14:paraId="7E79139D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805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B10 Hrazení dalších nákladů spojených se vzděláváním žáka se sociálním znevýhodněním (úhrady v rámci určeného podílu nákladů na blíže nespecifikované aktivity školního projektu)</w:t>
        </w:r>
      </w:hyperlink>
      <w:r w:rsidRPr="00521B0F">
        <w:rPr>
          <w:rFonts w:ascii="Arial" w:eastAsiaTheme="minorEastAsia" w:hAnsi="Arial" w:cs="Arial"/>
          <w:noProof/>
          <w:color w:val="09296D"/>
          <w:sz w:val="22"/>
        </w:rPr>
        <w:t xml:space="preserve"> </w:t>
      </w:r>
    </w:p>
    <w:p w14:paraId="05F27BBA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806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B11 Pedagogická intervence se zaměřením na rozvoj odborného jazyka na středních školách</w:t>
        </w:r>
      </w:hyperlink>
    </w:p>
    <w:p w14:paraId="428154A1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hAnsi="Arial" w:cs="Arial"/>
          <w:noProof/>
          <w:color w:val="09296D"/>
        </w:rPr>
      </w:pPr>
      <w:hyperlink w:anchor="_Toc160106807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B12 Prevence předčasného ukončení vzdělávání na střední škole</w:t>
        </w:r>
      </w:hyperlink>
    </w:p>
    <w:p w14:paraId="769877F5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</w:p>
    <w:p w14:paraId="523ED92E" w14:textId="77777777" w:rsidR="002635A5" w:rsidRPr="00521B0F" w:rsidRDefault="002635A5" w:rsidP="002635A5">
      <w:pPr>
        <w:pStyle w:val="Obsah1"/>
        <w:tabs>
          <w:tab w:val="left" w:pos="440"/>
          <w:tab w:val="right" w:leader="dot" w:pos="9068"/>
        </w:tabs>
        <w:rPr>
          <w:rFonts w:ascii="Georgia" w:eastAsiaTheme="minorEastAsia" w:hAnsi="Georgia" w:cs="Arial"/>
          <w:b w:val="0"/>
          <w:noProof/>
          <w:color w:val="447FC1"/>
          <w:sz w:val="22"/>
        </w:rPr>
      </w:pPr>
      <w:hyperlink w:anchor="_Toc160106808" w:history="1">
        <w:r w:rsidRPr="00521B0F">
          <w:rPr>
            <w:rStyle w:val="Hypertextovodkaz"/>
            <w:rFonts w:ascii="Georgia" w:hAnsi="Georgia" w:cs="Arial"/>
            <w:noProof/>
            <w:color w:val="447FC1"/>
            <w:u w:val="none"/>
          </w:rPr>
          <w:t>C.</w:t>
        </w:r>
        <w:r w:rsidRPr="00521B0F">
          <w:rPr>
            <w:rFonts w:ascii="Georgia" w:eastAsiaTheme="minorEastAsia" w:hAnsi="Georgia" w:cs="Arial"/>
            <w:b w:val="0"/>
            <w:noProof/>
            <w:color w:val="447FC1"/>
            <w:sz w:val="22"/>
          </w:rPr>
          <w:t xml:space="preserve"> </w:t>
        </w:r>
        <w:r w:rsidRPr="00521B0F">
          <w:rPr>
            <w:rStyle w:val="Hypertextovodkaz"/>
            <w:rFonts w:ascii="Georgia" w:hAnsi="Georgia" w:cs="Arial"/>
            <w:noProof/>
            <w:color w:val="447FC1"/>
            <w:u w:val="none"/>
          </w:rPr>
          <w:t>Podpora dalšího vzdělávání a rozvoj kompetencí pedagogických pracovníků</w:t>
        </w:r>
      </w:hyperlink>
    </w:p>
    <w:p w14:paraId="501E9832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809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C1 DVPP se zaměřením na společné vzdělávání a inovativní metody a postupy ve vzdělávání</w:t>
        </w:r>
      </w:hyperlink>
    </w:p>
    <w:p w14:paraId="40C191E0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810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C2 Mentorská podpora pedagogických pracovníků</w:t>
        </w:r>
      </w:hyperlink>
    </w:p>
    <w:p w14:paraId="5D0624CD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811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C3 Koučovací podpora vedoucích pedagogických pracovníků</w:t>
        </w:r>
      </w:hyperlink>
    </w:p>
    <w:p w14:paraId="4FBEB1ED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812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C4 Stáže, vzájemná kolegiální podpora</w:t>
        </w:r>
      </w:hyperlink>
    </w:p>
    <w:p w14:paraId="61BCA8B0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813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C5 Supervize pro pedagogické pracovníky</w:t>
        </w:r>
      </w:hyperlink>
    </w:p>
    <w:p w14:paraId="1DA04EBE" w14:textId="77777777" w:rsidR="002635A5" w:rsidRPr="00521B0F" w:rsidRDefault="002635A5" w:rsidP="002635A5">
      <w:pPr>
        <w:pStyle w:val="Obsah2"/>
        <w:tabs>
          <w:tab w:val="right" w:leader="dot" w:pos="9068"/>
        </w:tabs>
        <w:rPr>
          <w:rFonts w:ascii="Arial" w:hAnsi="Arial" w:cs="Arial"/>
          <w:noProof/>
          <w:color w:val="09296D"/>
        </w:rPr>
      </w:pPr>
      <w:hyperlink w:anchor="_Toc160106814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C6 Facilitace společných jednání</w:t>
        </w:r>
      </w:hyperlink>
    </w:p>
    <w:p w14:paraId="29F98A98" w14:textId="77777777" w:rsidR="0053312D" w:rsidRPr="00521B0F" w:rsidRDefault="002635A5" w:rsidP="002635A5">
      <w:pPr>
        <w:pStyle w:val="Obsah2"/>
        <w:tabs>
          <w:tab w:val="right" w:leader="dot" w:pos="9068"/>
        </w:tabs>
        <w:rPr>
          <w:rFonts w:ascii="Arial" w:eastAsiaTheme="minorEastAsia" w:hAnsi="Arial" w:cs="Arial"/>
          <w:noProof/>
          <w:color w:val="09296D"/>
          <w:sz w:val="22"/>
        </w:rPr>
      </w:pPr>
      <w:hyperlink w:anchor="_Toc160106815" w:history="1">
        <w:r w:rsidRPr="00521B0F">
          <w:rPr>
            <w:rStyle w:val="Hypertextovodkaz"/>
            <w:rFonts w:ascii="Arial" w:hAnsi="Arial" w:cs="Arial"/>
            <w:noProof/>
            <w:color w:val="09296D"/>
            <w:u w:val="none"/>
          </w:rPr>
          <w:t>C7 Mediace konfliktních situací</w:t>
        </w:r>
      </w:hyperlink>
    </w:p>
    <w:sectPr w:rsidR="0053312D" w:rsidRPr="00521B0F" w:rsidSect="00521B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92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9D76D" w14:textId="77777777" w:rsidR="00E4613F" w:rsidRDefault="00E4613F" w:rsidP="002635A5">
      <w:pPr>
        <w:spacing w:after="0" w:line="240" w:lineRule="auto"/>
      </w:pPr>
      <w:r>
        <w:separator/>
      </w:r>
    </w:p>
  </w:endnote>
  <w:endnote w:type="continuationSeparator" w:id="0">
    <w:p w14:paraId="7FC2C916" w14:textId="77777777" w:rsidR="00E4613F" w:rsidRDefault="00E4613F" w:rsidP="0026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E8EE" w14:textId="77777777" w:rsidR="007558E1" w:rsidRDefault="007558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5512A" w14:textId="4A4EB0A3" w:rsidR="007558E1" w:rsidRDefault="007558E1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DB3B8D" wp14:editId="56447C23">
          <wp:simplePos x="0" y="0"/>
          <wp:positionH relativeFrom="margin">
            <wp:align>left</wp:align>
          </wp:positionH>
          <wp:positionV relativeFrom="page">
            <wp:posOffset>9925050</wp:posOffset>
          </wp:positionV>
          <wp:extent cx="4200525" cy="424180"/>
          <wp:effectExtent l="0" t="0" r="9525" b="0"/>
          <wp:wrapNone/>
          <wp:docPr id="445685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6C7E" w14:textId="77777777" w:rsidR="007558E1" w:rsidRDefault="007558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92F90" w14:textId="77777777" w:rsidR="00E4613F" w:rsidRDefault="00E4613F" w:rsidP="002635A5">
      <w:pPr>
        <w:spacing w:after="0" w:line="240" w:lineRule="auto"/>
      </w:pPr>
      <w:r>
        <w:separator/>
      </w:r>
    </w:p>
  </w:footnote>
  <w:footnote w:type="continuationSeparator" w:id="0">
    <w:p w14:paraId="2464350D" w14:textId="77777777" w:rsidR="00E4613F" w:rsidRDefault="00E4613F" w:rsidP="00263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520B" w14:textId="77777777" w:rsidR="007558E1" w:rsidRDefault="007558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D794D" w14:textId="6C0E7E3F" w:rsidR="007558E1" w:rsidRDefault="007558E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0E342C" wp14:editId="3C3F71DB">
          <wp:simplePos x="0" y="0"/>
          <wp:positionH relativeFrom="margin">
            <wp:posOffset>-4445</wp:posOffset>
          </wp:positionH>
          <wp:positionV relativeFrom="page">
            <wp:posOffset>266700</wp:posOffset>
          </wp:positionV>
          <wp:extent cx="2361565" cy="539750"/>
          <wp:effectExtent l="0" t="0" r="635" b="0"/>
          <wp:wrapNone/>
          <wp:docPr id="91095951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C9BF8" w14:textId="77777777" w:rsidR="007558E1" w:rsidRDefault="007558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A5"/>
    <w:rsid w:val="002635A5"/>
    <w:rsid w:val="00521B0F"/>
    <w:rsid w:val="0053312D"/>
    <w:rsid w:val="005A7A81"/>
    <w:rsid w:val="00620B61"/>
    <w:rsid w:val="007558E1"/>
    <w:rsid w:val="00E4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C37A"/>
  <w15:chartTrackingRefBased/>
  <w15:docId w15:val="{B8A57AE4-D565-4D04-9B8F-E2FCBFEC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5A5"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hidden/>
    <w:uiPriority w:val="39"/>
    <w:rsid w:val="002635A5"/>
    <w:pPr>
      <w:spacing w:after="101"/>
      <w:ind w:left="25" w:right="22" w:hanging="10"/>
    </w:pPr>
    <w:rPr>
      <w:rFonts w:ascii="Calibri" w:eastAsia="Calibri" w:hAnsi="Calibri" w:cs="Calibri"/>
      <w:b/>
      <w:color w:val="000000"/>
      <w:sz w:val="18"/>
    </w:rPr>
  </w:style>
  <w:style w:type="paragraph" w:styleId="Obsah2">
    <w:name w:val="toc 2"/>
    <w:hidden/>
    <w:uiPriority w:val="39"/>
    <w:rsid w:val="002635A5"/>
    <w:pPr>
      <w:spacing w:after="100"/>
      <w:ind w:left="246" w:right="22" w:hanging="10"/>
    </w:pPr>
    <w:rPr>
      <w:rFonts w:ascii="Calibri" w:eastAsia="Calibri" w:hAnsi="Calibri" w:cs="Calibri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2635A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6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35A5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6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35A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397</Words>
  <Characters>2346</Characters>
  <Application>Microsoft Office Word</Application>
  <DocSecurity>0</DocSecurity>
  <Lines>19</Lines>
  <Paragraphs>5</Paragraphs>
  <ScaleCrop>false</ScaleCrop>
  <Company>NIDV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Cifrainová</dc:creator>
  <cp:keywords/>
  <dc:description/>
  <cp:lastModifiedBy>Houdková Michaela</cp:lastModifiedBy>
  <cp:revision>3</cp:revision>
  <dcterms:created xsi:type="dcterms:W3CDTF">2025-05-06T10:19:00Z</dcterms:created>
  <dcterms:modified xsi:type="dcterms:W3CDTF">2025-05-08T09:56:00Z</dcterms:modified>
</cp:coreProperties>
</file>