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D795" w14:textId="77777777" w:rsidR="005A2CAF" w:rsidRPr="00C2622D" w:rsidRDefault="0022633D" w:rsidP="005A2CAF">
      <w:pPr>
        <w:shd w:val="clear" w:color="auto" w:fill="FFFFFF"/>
        <w:spacing w:before="100" w:beforeAutospacing="1" w:after="100" w:afterAutospacing="1"/>
        <w:jc w:val="center"/>
        <w:outlineLvl w:val="0"/>
        <w:rPr>
          <w:rFonts w:ascii="TeXGyreAdventor" w:eastAsia="Times New Roman" w:hAnsi="TeXGyreAdventor"/>
          <w:b/>
          <w:bCs/>
          <w:kern w:val="36"/>
          <w:sz w:val="28"/>
          <w:szCs w:val="28"/>
        </w:rPr>
      </w:pPr>
      <w:r w:rsidRPr="00C2622D">
        <w:rPr>
          <w:rFonts w:ascii="TeXGyreAdventor" w:hAnsi="TeXGyreAdventor"/>
          <w:b/>
          <w:bCs/>
          <w:sz w:val="28"/>
          <w:szCs w:val="28"/>
        </w:rPr>
        <w:t xml:space="preserve">Đánh giá học tập cho người nước ngoài </w:t>
      </w:r>
    </w:p>
    <w:p w14:paraId="0820D796" w14:textId="77777777" w:rsidR="005A2CAF" w:rsidRPr="00C2622D" w:rsidRDefault="005A2CAF" w:rsidP="005A2CAF">
      <w:pPr>
        <w:shd w:val="clear" w:color="auto" w:fill="FFFFFF"/>
        <w:spacing w:before="100" w:beforeAutospacing="1" w:after="100" w:afterAutospacing="1"/>
        <w:jc w:val="both"/>
        <w:rPr>
          <w:rFonts w:ascii="TeXGyreAdventor" w:eastAsia="Times New Roman" w:hAnsi="TeXGyreAdventor"/>
        </w:rPr>
      </w:pPr>
      <w:r w:rsidRPr="00C2622D">
        <w:rPr>
          <w:rFonts w:ascii="TeXGyreAdventor" w:hAnsi="TeXGyreAdventor"/>
        </w:rPr>
        <w:t>Xếp loại cho người nước ngoài được điều chỉnh bởi Luật Giáo dục và hướng dẫn phương pháp giảng dạy của Bộ Giáo dục, Thanh niên và Thể thao (MEYS). Khi đánh giá con của người nước ngoài trong bộ môn “Ngôn ngữ và Văn học Séc”, trình độ kiến thức về tiếng Séc sẽ được cân nhắc.</w:t>
      </w:r>
    </w:p>
    <w:p w14:paraId="0820D797" w14:textId="77777777" w:rsidR="005A2CAF" w:rsidRPr="00C2622D" w:rsidRDefault="005A2CAF" w:rsidP="005A2CAF">
      <w:pPr>
        <w:shd w:val="clear" w:color="auto" w:fill="FFFFFF"/>
        <w:spacing w:before="100" w:beforeAutospacing="1" w:after="100" w:afterAutospacing="1"/>
        <w:jc w:val="both"/>
        <w:rPr>
          <w:rFonts w:ascii="TeXGyreAdventor" w:eastAsia="Times New Roman" w:hAnsi="TeXGyreAdventor"/>
        </w:rPr>
      </w:pPr>
      <w:r w:rsidRPr="00C2622D">
        <w:rPr>
          <w:rFonts w:ascii="TeXGyreAdventor" w:hAnsi="TeXGyreAdventor"/>
        </w:rPr>
        <w:t>Kết quả học tập của học sinh không phải là công dân của Cộng hòa Séc và đang tham gia chương trình giáo dục bắt buộc của Cộng hòa Séc sẽ được đánh giá theo Mục 51 đến 53 trong</w:t>
      </w:r>
      <w:r w:rsidRPr="00C2622D">
        <w:rPr>
          <w:rFonts w:ascii="TeXGyreAdventor" w:hAnsi="TeXGyreAdventor"/>
          <w:sz w:val="20"/>
          <w:szCs w:val="20"/>
        </w:rPr>
        <w:t xml:space="preserve"> </w:t>
      </w:r>
      <w:hyperlink r:id="rId10" w:tgtFrame="_blank" w:history="1">
        <w:r w:rsidRPr="00C2622D">
          <w:rPr>
            <w:rFonts w:ascii="TeXGyreAdventor" w:hAnsi="TeXGyreAdventor"/>
          </w:rPr>
          <w:t>Luật Giáo dục</w:t>
        </w:r>
      </w:hyperlink>
      <w:r w:rsidRPr="00C2622D">
        <w:rPr>
          <w:rFonts w:ascii="TeXGyreAdventor" w:hAnsi="TeXGyreAdventor"/>
          <w:sz w:val="20"/>
          <w:szCs w:val="20"/>
        </w:rPr>
        <w:t xml:space="preserve"> </w:t>
      </w:r>
      <w:r w:rsidRPr="00C2622D">
        <w:rPr>
          <w:rFonts w:ascii="TeXGyreAdventor" w:hAnsi="TeXGyreAdventor"/>
        </w:rPr>
        <w:t xml:space="preserve">và Mục 14 đến 17 của </w:t>
      </w:r>
      <w:hyperlink r:id="rId11" w:tgtFrame="_blank" w:history="1">
        <w:r w:rsidRPr="00C2622D">
          <w:rPr>
            <w:rFonts w:ascii="TeXGyreAdventor" w:hAnsi="TeXGyreAdventor"/>
          </w:rPr>
          <w:t>Nghị định về giáo dục tiểu học cũng như các yêu cầu nhất định về việc tham gia chương trình giáo dục bắt buộc</w:t>
        </w:r>
      </w:hyperlink>
      <w:r w:rsidRPr="00C2622D">
        <w:rPr>
          <w:rFonts w:ascii="TeXGyreAdventor" w:hAnsi="TeXGyreAdventor"/>
        </w:rPr>
        <w:t>.</w:t>
      </w:r>
    </w:p>
    <w:p w14:paraId="0820D798" w14:textId="73D93C79" w:rsidR="005A2CAF" w:rsidRPr="00C2622D" w:rsidRDefault="005A2CAF" w:rsidP="005A2CAF">
      <w:pPr>
        <w:shd w:val="clear" w:color="auto" w:fill="FFFFFF"/>
        <w:spacing w:before="100" w:beforeAutospacing="1" w:after="100" w:afterAutospacing="1"/>
        <w:jc w:val="both"/>
        <w:rPr>
          <w:rFonts w:ascii="TeXGyreAdventor" w:eastAsia="Times New Roman" w:hAnsi="TeXGyreAdventor"/>
        </w:rPr>
      </w:pPr>
      <w:r w:rsidRPr="00C2622D">
        <w:rPr>
          <w:rFonts w:ascii="TeXGyreAdventor" w:hAnsi="TeXGyreAdventor"/>
        </w:rPr>
        <w:t xml:space="preserve">Khi đánh giá những học sinh này, trình độ kiến thức về tiếng Séc được xem là yếu tố then chốt có ảnh hưởng đến kết quả học tập của các em theo Mục 15(2) và (4) của Nghị định. </w:t>
      </w:r>
      <w:bookmarkStart w:id="0" w:name="_GoBack"/>
      <w:bookmarkEnd w:id="0"/>
    </w:p>
    <w:p w14:paraId="0820D799" w14:textId="77777777" w:rsidR="005A2CAF" w:rsidRPr="00C2622D" w:rsidRDefault="005A2CAF" w:rsidP="005A2CAF">
      <w:pPr>
        <w:shd w:val="clear" w:color="auto" w:fill="FFFFFF"/>
        <w:spacing w:before="100" w:beforeAutospacing="1" w:after="100" w:afterAutospacing="1"/>
        <w:jc w:val="both"/>
        <w:rPr>
          <w:rFonts w:ascii="TeXGyreAdventor" w:eastAsia="Times New Roman" w:hAnsi="TeXGyreAdventor"/>
        </w:rPr>
      </w:pPr>
      <w:r w:rsidRPr="00C2622D">
        <w:rPr>
          <w:rFonts w:ascii="TeXGyreAdventor" w:hAnsi="TeXGyreAdventor"/>
        </w:rPr>
        <w:t>Vào cuối học kỳ một, ngay cả học sinh nước ngoài cũng không cần phải được đánh giá theo bảng điểm, cho dù là vào một ngày thay thế. Tuy nhiên nếu vào cuối học kỳ hai mà vẫn không được đánh giá, học sinh đó sẽ phải học lại năm học vừa qua.</w:t>
      </w:r>
    </w:p>
    <w:p w14:paraId="0820D79A" w14:textId="77777777" w:rsidR="005A2CAF" w:rsidRPr="00C2622D" w:rsidRDefault="005A2CAF" w:rsidP="005A2CAF">
      <w:pPr>
        <w:shd w:val="clear" w:color="auto" w:fill="FFFFFF"/>
        <w:spacing w:before="100" w:beforeAutospacing="1" w:after="100" w:afterAutospacing="1"/>
        <w:jc w:val="both"/>
        <w:rPr>
          <w:rFonts w:ascii="TeXGyreAdventor" w:eastAsia="Times New Roman" w:hAnsi="TeXGyreAdventor"/>
        </w:rPr>
      </w:pPr>
      <w:r w:rsidRPr="00C2622D">
        <w:rPr>
          <w:rFonts w:ascii="TeXGyreAdventor" w:hAnsi="TeXGyreAdventor"/>
        </w:rPr>
        <w:t>Công dân của Cộng hòa Slovakia có quyền sử dụng ngôn ngữ Slovak trong quá trình học tập, ngoại trừ khi học môn “Ngôn ngữ và Văn học Séc”.</w:t>
      </w:r>
    </w:p>
    <w:sectPr w:rsidR="005A2CAF" w:rsidRPr="00C2622D" w:rsidSect="00B93F5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0D79D" w14:textId="77777777" w:rsidR="004E0C53" w:rsidRDefault="004E0C53" w:rsidP="004E0C53">
      <w:r>
        <w:separator/>
      </w:r>
    </w:p>
  </w:endnote>
  <w:endnote w:type="continuationSeparator" w:id="0">
    <w:p w14:paraId="0820D79E" w14:textId="77777777" w:rsidR="004E0C53" w:rsidRDefault="004E0C53" w:rsidP="004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eXGyreAdventor">
    <w:altName w:val="Calibri"/>
    <w:panose1 w:val="00000000000000000000"/>
    <w:charset w:val="00"/>
    <w:family w:val="modern"/>
    <w:notTrueType/>
    <w:pitch w:val="variable"/>
    <w:sig w:usb0="2000028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0820D79F" w14:textId="77777777" w:rsidR="004E0C53" w:rsidRDefault="004E0C53">
        <w:pPr>
          <w:pStyle w:val="Zpat"/>
          <w:jc w:val="center"/>
        </w:pPr>
        <w:r>
          <w:fldChar w:fldCharType="begin"/>
        </w:r>
        <w:r>
          <w:instrText>PAGE   \* MERGEFORMAT</w:instrText>
        </w:r>
        <w:r>
          <w:fldChar w:fldCharType="separate"/>
        </w:r>
        <w:r w:rsidR="00404AC0">
          <w:t>1</w:t>
        </w:r>
        <w:r>
          <w:fldChar w:fldCharType="end"/>
        </w:r>
      </w:p>
    </w:sdtContent>
  </w:sdt>
  <w:p w14:paraId="0820D7A0" w14:textId="77777777" w:rsidR="004E0C53" w:rsidRDefault="004E0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D79B" w14:textId="77777777" w:rsidR="004E0C53" w:rsidRDefault="004E0C53" w:rsidP="004E0C53">
      <w:r>
        <w:separator/>
      </w:r>
    </w:p>
  </w:footnote>
  <w:footnote w:type="continuationSeparator" w:id="0">
    <w:p w14:paraId="0820D79C" w14:textId="77777777" w:rsidR="004E0C53" w:rsidRDefault="004E0C53" w:rsidP="004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sjA2MjI2MLA0tjRQ0lEKTi0uzszPAykwrAUAniATViwAAAA="/>
  </w:docVars>
  <w:rsids>
    <w:rsidRoot w:val="005A2CAF"/>
    <w:rsid w:val="00060D99"/>
    <w:rsid w:val="00222855"/>
    <w:rsid w:val="0022633D"/>
    <w:rsid w:val="00404AC0"/>
    <w:rsid w:val="004E0C53"/>
    <w:rsid w:val="005161BF"/>
    <w:rsid w:val="005A2CAF"/>
    <w:rsid w:val="005D738F"/>
    <w:rsid w:val="00642030"/>
    <w:rsid w:val="006E2D0F"/>
    <w:rsid w:val="008840B7"/>
    <w:rsid w:val="008B02D3"/>
    <w:rsid w:val="00AE7913"/>
    <w:rsid w:val="00C214B1"/>
    <w:rsid w:val="00C26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D795"/>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2CAF"/>
    <w:pPr>
      <w:spacing w:after="0" w:line="240" w:lineRule="auto"/>
    </w:pPr>
    <w:rPr>
      <w:rFonts w:ascii="Arial" w:eastAsia="Calibri" w:hAnsi="Calibri" w:cs="Times New Roman"/>
    </w:rPr>
  </w:style>
  <w:style w:type="paragraph" w:styleId="Nadpis1">
    <w:name w:val="heading 1"/>
    <w:basedOn w:val="Normln"/>
    <w:link w:val="Nadpis1Char"/>
    <w:uiPriority w:val="9"/>
    <w:qFormat/>
    <w:rsid w:val="005A2CAF"/>
    <w:pPr>
      <w:spacing w:before="100" w:beforeAutospacing="1" w:after="100" w:afterAutospacing="1"/>
      <w:outlineLvl w:val="0"/>
    </w:pPr>
    <w:rPr>
      <w:rFonts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5A2CAF"/>
    <w:pPr>
      <w:keepNext/>
      <w:keepLines/>
      <w:spacing w:before="200"/>
      <w:outlineLvl w:val="1"/>
    </w:pPr>
    <w:rPr>
      <w:rFonts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5A2CAF"/>
    <w:pPr>
      <w:keepNext/>
      <w:keepLines/>
      <w:spacing w:before="200"/>
      <w:outlineLvl w:val="2"/>
    </w:pPr>
    <w:rPr>
      <w:rFonts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2CA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5A2CAF"/>
    <w:rPr>
      <w:rFonts w:ascii="Arial"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5A2CAF"/>
    <w:rPr>
      <w:rFonts w:ascii="Arial" w:eastAsia="Times New Roman" w:hAnsi="Cambria" w:cs="Times New Roman"/>
      <w:b/>
      <w:bCs/>
      <w:color w:val="4F81BD"/>
    </w:rPr>
  </w:style>
  <w:style w:type="character" w:styleId="Hypertextovodkaz">
    <w:name w:val="Hyperlink"/>
    <w:basedOn w:val="Standardnpsmoodstavce"/>
    <w:uiPriority w:val="99"/>
    <w:semiHidden/>
    <w:unhideWhenUsed/>
    <w:rsid w:val="005A2CAF"/>
    <w:rPr>
      <w:strike w:val="0"/>
      <w:dstrike w:val="0"/>
      <w:color w:val="8E271F"/>
      <w:u w:val="none"/>
      <w:effect w:val="none"/>
    </w:rPr>
  </w:style>
  <w:style w:type="paragraph" w:styleId="Normlnweb">
    <w:name w:val="Normal (Web)"/>
    <w:basedOn w:val="Normln"/>
    <w:uiPriority w:val="99"/>
    <w:unhideWhenUsed/>
    <w:rsid w:val="005A2CAF"/>
    <w:pPr>
      <w:spacing w:before="100" w:beforeAutospacing="1" w:after="100" w:afterAutospacing="1"/>
    </w:pPr>
    <w:rPr>
      <w:rFonts w:eastAsia="Times New Roman" w:hAnsi="Times New Roman"/>
      <w:sz w:val="24"/>
      <w:szCs w:val="24"/>
      <w:lang w:eastAsia="cs-CZ"/>
    </w:rPr>
  </w:style>
  <w:style w:type="paragraph" w:customStyle="1" w:styleId="a">
    <w:uiPriority w:val="20"/>
    <w:qFormat/>
    <w:rsid w:val="005A2CAF"/>
  </w:style>
  <w:style w:type="character" w:styleId="Siln">
    <w:name w:val="Strong"/>
    <w:basedOn w:val="Standardnpsmoodstavce"/>
    <w:uiPriority w:val="22"/>
    <w:qFormat/>
    <w:rsid w:val="005A2CAF"/>
    <w:rPr>
      <w:b/>
      <w:bCs/>
    </w:rPr>
  </w:style>
  <w:style w:type="character" w:styleId="Zdraznn">
    <w:name w:val="Emphasis"/>
    <w:basedOn w:val="Standardnpsmoodstavce"/>
    <w:uiPriority w:val="20"/>
    <w:qFormat/>
    <w:rsid w:val="005A2CAF"/>
    <w:rPr>
      <w:i/>
      <w:iCs/>
    </w:rPr>
  </w:style>
  <w:style w:type="paragraph" w:styleId="Zhlav">
    <w:name w:val="header"/>
    <w:basedOn w:val="Normln"/>
    <w:link w:val="ZhlavChar"/>
    <w:uiPriority w:val="99"/>
    <w:unhideWhenUsed/>
    <w:rsid w:val="004E0C53"/>
    <w:pPr>
      <w:tabs>
        <w:tab w:val="center" w:pos="4536"/>
        <w:tab w:val="right" w:pos="9072"/>
      </w:tabs>
    </w:pPr>
  </w:style>
  <w:style w:type="character" w:customStyle="1" w:styleId="ZhlavChar">
    <w:name w:val="Záhlaví Char"/>
    <w:basedOn w:val="Standardnpsmoodstavce"/>
    <w:link w:val="Zhlav"/>
    <w:uiPriority w:val="99"/>
    <w:rsid w:val="004E0C53"/>
    <w:rPr>
      <w:rFonts w:ascii="Arial" w:eastAsia="Calibri" w:hAnsi="Calibri" w:cs="Times New Roman"/>
    </w:rPr>
  </w:style>
  <w:style w:type="paragraph" w:styleId="Zpat">
    <w:name w:val="footer"/>
    <w:basedOn w:val="Normln"/>
    <w:link w:val="ZpatChar"/>
    <w:uiPriority w:val="99"/>
    <w:unhideWhenUsed/>
    <w:rsid w:val="004E0C53"/>
    <w:pPr>
      <w:tabs>
        <w:tab w:val="center" w:pos="4536"/>
        <w:tab w:val="right" w:pos="9072"/>
      </w:tabs>
    </w:pPr>
  </w:style>
  <w:style w:type="character" w:customStyle="1" w:styleId="ZpatChar">
    <w:name w:val="Zápatí Char"/>
    <w:basedOn w:val="Standardnpsmoodstavce"/>
    <w:link w:val="Zpat"/>
    <w:uiPriority w:val="99"/>
    <w:rsid w:val="004E0C53"/>
    <w:rPr>
      <w:rFonts w:ascii="Arial"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Arial" panose="020F0302020204030204"/>
        <a:ea typeface=""/>
        <a:cs typeface=""/>
      </a:majorFont>
      <a:minorFont>
        <a:latin typeface="Arial" panose="020F0502020204030204"/>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BC262-C933-403C-B95D-542D79808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F23CD-8E7A-4628-85D4-C47FBFDE8C6C}">
  <ds:schemaRefs>
    <ds:schemaRef ds:uri="http://schemas.microsoft.com/sharepoint/v3/contenttype/forms"/>
  </ds:schemaRefs>
</ds:datastoreItem>
</file>

<file path=customXml/itemProps3.xml><?xml version="1.0" encoding="utf-8"?>
<ds:datastoreItem xmlns:ds="http://schemas.openxmlformats.org/officeDocument/2006/customXml" ds:itemID="{568233C5-5FEE-4E38-B420-F10AA838073D}">
  <ds:schemaRefs>
    <ds:schemaRef ds:uri="http://schemas.microsoft.com/office/2006/documentManagement/types"/>
    <ds:schemaRef ds:uri="http://purl.org/dc/dcmitype/"/>
    <ds:schemaRef ds:uri="ff86a005-90fc-4239-839d-f3fabb62eb42"/>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8a1c2036-36f5-4773-a353-a11a7cdf52a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1164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Smolová Závorová Halka</cp:lastModifiedBy>
  <cp:revision>4</cp:revision>
  <dcterms:created xsi:type="dcterms:W3CDTF">2019-02-11T11:09:00Z</dcterms:created>
  <dcterms:modified xsi:type="dcterms:W3CDTF">2021-03-18T09:35:00Z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