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FB69" w14:textId="77777777" w:rsidR="00CC6A26" w:rsidRPr="004259E7" w:rsidRDefault="00782188" w:rsidP="00CC6A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836D4">
        <w:rPr>
          <w:rFonts w:ascii="Times New Roman" w:eastAsia="Times New Roman" w:hAnsi="Times New Roman"/>
          <w:sz w:val="24"/>
          <w:szCs w:val="24"/>
          <w:lang w:val="uk-UA" w:eastAsia="cs-CZ"/>
        </w:rPr>
        <w:t xml:space="preserve">РЕЧОВИНИ АБО ПРОДУКТИ, ЩО ВИКЛИКАЮТЬ АЛЕРГІЧНІ РЕАКЦІЇ АБО ХАРЧОВУ НЕПЕРЕНОСИМІСТЬ </w:t>
      </w:r>
      <w:r w:rsidR="004259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C6A26" w:rsidRPr="00B836D4" w14:paraId="2F078C9A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45F39FBF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2E44297F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1.</w:t>
            </w:r>
          </w:p>
        </w:tc>
        <w:tc>
          <w:tcPr>
            <w:tcW w:w="0" w:type="auto"/>
            <w:hideMark/>
          </w:tcPr>
          <w:p w14:paraId="07F8AF14" w14:textId="77777777" w:rsidR="00CC6A26" w:rsidRPr="00B836D4" w:rsidRDefault="00782188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Злаки, що містять глютен, а саме: пшениця, жито, ячмінь, овес, спельта, камут або їх гібридні сорти і вироби з них, окрім: 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B836D4" w14:paraId="75727DC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A613FBF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2FD7660B" w14:textId="77777777" w:rsidR="00CC6A26" w:rsidRPr="00B836D4" w:rsidRDefault="00C005A5" w:rsidP="00C005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глюкозних сиропів на базі пшениці, включаючи декстрози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 </w:t>
                  </w:r>
                  <w:hyperlink r:id="rId7" w:anchor="ntr1-L_2011304CS.01004301-E0001" w:history="1">
                    <w:r w:rsidR="00CC6A26" w:rsidRPr="00B836D4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val="uk-UA" w:eastAsia="cs-CZ"/>
                      </w:rPr>
                      <w:t>(1)</w:t>
                    </w:r>
                  </w:hyperlink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4DD0256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50F817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14A634B" w14:textId="77777777" w:rsidR="00CC6A26" w:rsidRPr="00B836D4" w:rsidRDefault="007B60E9" w:rsidP="00C005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мальтодекстрин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ів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на баз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пшениц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 </w:t>
                  </w:r>
                  <w:hyperlink r:id="rId8" w:anchor="ntr1-L_2011304CS.01004301-E0001" w:history="1">
                    <w:r w:rsidR="00CC6A26" w:rsidRPr="00B836D4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val="uk-UA" w:eastAsia="cs-CZ"/>
                      </w:rPr>
                      <w:t>(1)</w:t>
                    </w:r>
                  </w:hyperlink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68A2F4D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5372B98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c)</w:t>
                  </w:r>
                  <w:r w:rsidR="007B60E9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 </w:t>
                  </w:r>
                </w:p>
              </w:tc>
              <w:tc>
                <w:tcPr>
                  <w:tcW w:w="0" w:type="auto"/>
                  <w:hideMark/>
                </w:tcPr>
                <w:p w14:paraId="70903DE2" w14:textId="77777777" w:rsidR="00CC6A26" w:rsidRPr="00B836D4" w:rsidRDefault="007B60E9" w:rsidP="00C005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глюкозн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их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сироп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в на баз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ячмен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ю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2F4CA82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E98ECE5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5BC4FDE2" w14:textId="77777777" w:rsidR="00CC6A26" w:rsidRPr="00B836D4" w:rsidRDefault="007B60E9" w:rsidP="00C005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злаків, що використовуються для виробництва алкогольних дистилятів, включаючи етанол сільськогосподарського походження</w:t>
                  </w:r>
                  <w:r w:rsidR="000A0180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.</w:t>
                  </w:r>
                </w:p>
              </w:tc>
            </w:tr>
          </w:tbl>
          <w:p w14:paraId="2ADB02CF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</w:tr>
      <w:tr w:rsidR="00CC6A26" w:rsidRPr="00B836D4" w14:paraId="5E0F9E9B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4FA9BBC6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3D956DE0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2.</w:t>
            </w:r>
          </w:p>
        </w:tc>
        <w:tc>
          <w:tcPr>
            <w:tcW w:w="0" w:type="auto"/>
            <w:hideMark/>
          </w:tcPr>
          <w:p w14:paraId="28A50723" w14:textId="77777777" w:rsidR="00CC6A26" w:rsidRPr="00B836D4" w:rsidRDefault="007B60E9" w:rsidP="00C00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Рако</w:t>
            </w:r>
            <w:r w:rsidR="00C005A5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подібні і вироби з них</w:t>
            </w:r>
            <w:r w:rsidR="000A0180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092F7147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84498CC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1AA68096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3.</w:t>
            </w:r>
          </w:p>
        </w:tc>
        <w:tc>
          <w:tcPr>
            <w:tcW w:w="0" w:type="auto"/>
            <w:hideMark/>
          </w:tcPr>
          <w:p w14:paraId="009FAFFF" w14:textId="77777777" w:rsidR="00CC6A26" w:rsidRPr="00B836D4" w:rsidRDefault="00C005A5" w:rsidP="00C00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Яйця і вироби з них</w:t>
            </w:r>
            <w:r w:rsidR="000A0180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4D256FC0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C1967A3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75A9E26B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4.</w:t>
            </w:r>
          </w:p>
        </w:tc>
        <w:tc>
          <w:tcPr>
            <w:tcW w:w="0" w:type="auto"/>
            <w:hideMark/>
          </w:tcPr>
          <w:p w14:paraId="11601165" w14:textId="77777777" w:rsidR="00CC6A26" w:rsidRPr="00B836D4" w:rsidRDefault="00C005A5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Риба і вироби</w:t>
            </w:r>
            <w:r w:rsidR="000326E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з неї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, окрім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B836D4" w14:paraId="790A3D0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88002C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557B5F77" w14:textId="77777777" w:rsidR="00CC6A26" w:rsidRPr="00B836D4" w:rsidRDefault="00C005A5" w:rsidP="00C005A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рибного желатину, використовуваного як носій вітамінних або каратеноїдних препаратів;</w:t>
                  </w:r>
                </w:p>
              </w:tc>
            </w:tr>
            <w:tr w:rsidR="00CC6A26" w:rsidRPr="00B836D4" w14:paraId="28DA038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D35B55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F638B0A" w14:textId="77777777" w:rsidR="00CC6A26" w:rsidRPr="00B836D4" w:rsidRDefault="00D55D2C" w:rsidP="000326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рибного желатину або риб'ячого клею, </w:t>
                  </w:r>
                  <w:r w:rsidR="000326E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що використовується</w:t>
                  </w:r>
                  <w:r w:rsidR="00C005A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як засіб для освітлення пива і вина.</w:t>
                  </w:r>
                </w:p>
              </w:tc>
            </w:tr>
          </w:tbl>
          <w:p w14:paraId="4EC7416A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</w:tr>
      <w:tr w:rsidR="00CC6A26" w:rsidRPr="00B836D4" w14:paraId="10409AB1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03CF656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2DC31610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5.</w:t>
            </w:r>
          </w:p>
        </w:tc>
        <w:tc>
          <w:tcPr>
            <w:tcW w:w="0" w:type="auto"/>
            <w:hideMark/>
          </w:tcPr>
          <w:p w14:paraId="30322EF8" w14:textId="77777777" w:rsidR="00CC6A26" w:rsidRPr="00B836D4" w:rsidRDefault="003D3046" w:rsidP="00C00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Ядра </w:t>
            </w:r>
            <w:r w:rsidR="00C005A5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земляного горіха (арахіс) і вироби з них</w:t>
            </w:r>
            <w:r w:rsidR="000A0180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36D30B56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97B2D6D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258A801F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6.</w:t>
            </w:r>
          </w:p>
        </w:tc>
        <w:tc>
          <w:tcPr>
            <w:tcW w:w="0" w:type="auto"/>
            <w:hideMark/>
          </w:tcPr>
          <w:p w14:paraId="4D61F0B7" w14:textId="77777777" w:rsidR="00CC6A26" w:rsidRPr="00B836D4" w:rsidRDefault="00C005A5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Соєві боби і вироби з них, окрім: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B836D4" w14:paraId="6995602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5C72F3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12B29F49" w14:textId="77777777" w:rsidR="00CC6A26" w:rsidRPr="00B836D4" w:rsidRDefault="009F1885" w:rsidP="009F18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повністю рафінованої соєвої олії і жиру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 </w:t>
                  </w:r>
                  <w:hyperlink r:id="rId9" w:anchor="ntr1-L_2011304CS.01004301-E0001" w:history="1">
                    <w:r w:rsidR="00CC6A26" w:rsidRPr="00B836D4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val="uk-UA" w:eastAsia="cs-CZ"/>
                      </w:rPr>
                      <w:t>(1)</w:t>
                    </w:r>
                  </w:hyperlink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4A9BF42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978214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29660A0A" w14:textId="77777777" w:rsidR="00CC6A26" w:rsidRPr="00B836D4" w:rsidRDefault="003D3046" w:rsidP="009F18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природних сумішей 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токоферол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в 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(E306), 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природного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C6A26" w:rsidRPr="00B836D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uk-UA" w:eastAsia="cs-CZ"/>
                    </w:rPr>
                    <w:t>d–</w:t>
                  </w:r>
                  <w:r w:rsidRPr="00B836D4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uk-UA" w:eastAsia="cs-CZ"/>
                    </w:rPr>
                    <w:t>α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токоферол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у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, 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природного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C6A26" w:rsidRPr="00B836D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uk-UA" w:eastAsia="cs-CZ"/>
                    </w:rPr>
                    <w:t>d–</w:t>
                  </w:r>
                  <w:r w:rsidR="00890BE8" w:rsidRPr="00B836D4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uk-UA" w:eastAsia="cs-CZ"/>
                    </w:rPr>
                    <w:t xml:space="preserve"> α</w:t>
                  </w:r>
                  <w:r w:rsidR="00890BE8" w:rsidRPr="00B836D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–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токоферол–ацетат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у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, 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природного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C6A26" w:rsidRPr="00B836D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uk-UA" w:eastAsia="cs-CZ"/>
                    </w:rPr>
                    <w:t>d–</w:t>
                  </w:r>
                  <w:r w:rsidR="00890BE8" w:rsidRPr="00B836D4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uk-UA" w:eastAsia="cs-CZ"/>
                    </w:rPr>
                    <w:t xml:space="preserve"> α</w:t>
                  </w:r>
                  <w:r w:rsidR="00890BE8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–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токоферол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–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сукцин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іту з сої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5533F91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BF16F4D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c)</w:t>
                  </w:r>
                  <w:r w:rsidR="00890BE8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 </w:t>
                  </w:r>
                </w:p>
              </w:tc>
              <w:tc>
                <w:tcPr>
                  <w:tcW w:w="0" w:type="auto"/>
                  <w:hideMark/>
                </w:tcPr>
                <w:p w14:paraId="5847CA97" w14:textId="77777777" w:rsidR="00CC6A26" w:rsidRPr="00B836D4" w:rsidRDefault="00890BE8" w:rsidP="00E04BA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ф</w:t>
                  </w:r>
                  <w:r w:rsid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тост</w:t>
                  </w:r>
                  <w:r w:rsidR="00E04BA8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е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рол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ів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9F1885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та ефірів фітост</w:t>
                  </w:r>
                  <w:r w:rsidR="00E04BA8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е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ролів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, 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отриманих з рослинних соєвих олій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254C57E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5E7D952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6A890331" w14:textId="77777777" w:rsidR="00CC6A26" w:rsidRPr="00B836D4" w:rsidRDefault="00890BE8" w:rsidP="00C44E5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ефірів рослинного станолу, виробленого із стиролів з рослинної соєвої олії.</w:t>
                  </w:r>
                </w:p>
              </w:tc>
            </w:tr>
          </w:tbl>
          <w:p w14:paraId="7CD5F2DD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</w:tr>
      <w:tr w:rsidR="00CC6A26" w:rsidRPr="00B836D4" w14:paraId="0A184F5B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5966B03E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538417BC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7.</w:t>
            </w:r>
          </w:p>
        </w:tc>
        <w:tc>
          <w:tcPr>
            <w:tcW w:w="0" w:type="auto"/>
            <w:hideMark/>
          </w:tcPr>
          <w:p w14:paraId="0D8F5FA4" w14:textId="77777777" w:rsidR="00CC6A26" w:rsidRPr="00B836D4" w:rsidRDefault="00890BE8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Молоко </w:t>
            </w:r>
            <w:r w:rsidR="00C44E5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і вироби з нього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</w:t>
            </w:r>
            <w:r w:rsidR="00C44E5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включаючи лактозу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)</w:t>
            </w:r>
            <w:r w:rsidR="002278B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,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  <w:r w:rsidR="00C44E5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окрім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B836D4" w14:paraId="0FC0353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054CFF9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0BB628A" w14:textId="77777777" w:rsidR="00CC6A26" w:rsidRPr="00B836D4" w:rsidRDefault="00890BE8" w:rsidP="000326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</w:t>
                  </w:r>
                  <w:r w:rsidR="00746C6F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с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ироваток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, 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що використовуються для виробництва алкогольних дистилятів, </w:t>
                  </w:r>
                  <w:r w:rsidR="00875CD2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включаючи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етанол </w:t>
                  </w:r>
                  <w:r w:rsidR="00B836D4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сільськогосподарського</w:t>
                  </w:r>
                  <w:r w:rsidR="00C44E5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походження</w:t>
                  </w:r>
                  <w:r w:rsidR="00CC6A26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;</w:t>
                  </w:r>
                </w:p>
              </w:tc>
            </w:tr>
            <w:tr w:rsidR="00CC6A26" w:rsidRPr="00B836D4" w14:paraId="3B4FF19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BC6DDE4" w14:textId="77777777" w:rsidR="00CC6A26" w:rsidRPr="00B836D4" w:rsidRDefault="00CC6A26" w:rsidP="00902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73B5C46" w14:textId="77777777" w:rsidR="00CC6A26" w:rsidRPr="00B836D4" w:rsidRDefault="00746C6F" w:rsidP="00875CD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</w:pP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 xml:space="preserve"> лактитол</w:t>
                  </w:r>
                  <w:r w:rsidR="00875CD2"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у</w:t>
                  </w:r>
                  <w:r w:rsidRPr="00B836D4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cs-CZ"/>
                    </w:rPr>
                    <w:t>.</w:t>
                  </w:r>
                </w:p>
              </w:tc>
            </w:tr>
          </w:tbl>
          <w:p w14:paraId="04F36FE5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</w:tr>
      <w:tr w:rsidR="00CC6A26" w:rsidRPr="00B836D4" w14:paraId="1C9C4C59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1A8FB25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2AB7B746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8.</w:t>
            </w:r>
          </w:p>
        </w:tc>
        <w:tc>
          <w:tcPr>
            <w:tcW w:w="0" w:type="auto"/>
            <w:hideMark/>
          </w:tcPr>
          <w:p w14:paraId="64FEC36E" w14:textId="77777777" w:rsidR="00CC6A26" w:rsidRPr="00B836D4" w:rsidRDefault="00875CD2" w:rsidP="00032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Горіхові плоди, а саме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: </w:t>
            </w:r>
            <w:r w:rsidR="00746C6F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ми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гдаль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(Amygdalus communis L.), 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лісові горіхи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(Corylus avellana), 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волоські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  <w:r w:rsidR="000326E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горіхи 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(Juglans regia), 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горіхи кешу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(Anacardium occidentale), 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горіхи пекан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(Carya illinoinensis (Wangenh.) K. Koch), </w:t>
            </w:r>
            <w:r w:rsidR="00BE6189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бразильс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ькі горіхи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(Bertholletia excelsa), </w:t>
            </w:r>
            <w:r w:rsidR="00BE6189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ф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істашки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(Pistacia vera), 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макадамія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(Macadamia ternifolia) 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і вироби з них, окрім горіхів, що </w:t>
            </w:r>
            <w:r w:rsidR="00B836D4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використовуються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для виробництва алкогольних дистилятів, включаючи етанол сільськогосподарського походження.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707D8B68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329AFB3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614636CC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9.</w:t>
            </w:r>
          </w:p>
        </w:tc>
        <w:tc>
          <w:tcPr>
            <w:tcW w:w="0" w:type="auto"/>
            <w:hideMark/>
          </w:tcPr>
          <w:p w14:paraId="5DB128F8" w14:textId="77777777" w:rsidR="00CC6A26" w:rsidRPr="00B836D4" w:rsidRDefault="00BE6189" w:rsidP="00875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С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елера і вироби з неї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17613C21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B5A0267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671AF95D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10.</w:t>
            </w:r>
          </w:p>
        </w:tc>
        <w:tc>
          <w:tcPr>
            <w:tcW w:w="0" w:type="auto"/>
            <w:hideMark/>
          </w:tcPr>
          <w:p w14:paraId="10DD5DB9" w14:textId="77777777" w:rsidR="00CC6A26" w:rsidRPr="00B836D4" w:rsidRDefault="00BE6189" w:rsidP="00875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Г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ірчиця і вироби з неї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02B2E575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084C8121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7A0278DF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11.</w:t>
            </w:r>
          </w:p>
        </w:tc>
        <w:tc>
          <w:tcPr>
            <w:tcW w:w="0" w:type="auto"/>
            <w:hideMark/>
          </w:tcPr>
          <w:p w14:paraId="4BE3F175" w14:textId="77777777" w:rsidR="00CC6A26" w:rsidRPr="00B836D4" w:rsidRDefault="00BE6189" w:rsidP="00875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Кунжутн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е насіння і вироби з нього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42398935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41965B7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7D5FD766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12.</w:t>
            </w:r>
          </w:p>
        </w:tc>
        <w:tc>
          <w:tcPr>
            <w:tcW w:w="0" w:type="auto"/>
            <w:hideMark/>
          </w:tcPr>
          <w:p w14:paraId="60D7648E" w14:textId="77777777" w:rsidR="00CC6A26" w:rsidRPr="00B836D4" w:rsidRDefault="00BE6189" w:rsidP="00B83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Двоокис сірки і сульфіти в концентрації більше </w:t>
            </w:r>
            <w:r w:rsidR="000326E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ніж 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10 мг/кг або 10 мг/л, виражається як загальна кількість S</w:t>
            </w:r>
            <w:r w:rsidR="00B836D4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О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2, яка розраховується для продуктів, призначених для прямого вжитку або для вжитку після </w:t>
            </w:r>
            <w:r w:rsidR="00B836D4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реабілітації</w:t>
            </w:r>
            <w:r w:rsidR="00875CD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відповідно до інструкцій виробника.    </w:t>
            </w:r>
            <w:r w:rsidR="009023B2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  <w:tr w:rsidR="00CC6A26" w:rsidRPr="00B836D4" w14:paraId="417A211A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4518621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36936B98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13.</w:t>
            </w:r>
          </w:p>
        </w:tc>
        <w:tc>
          <w:tcPr>
            <w:tcW w:w="0" w:type="auto"/>
            <w:hideMark/>
          </w:tcPr>
          <w:p w14:paraId="50936442" w14:textId="77777777" w:rsidR="00CC6A26" w:rsidRPr="00B836D4" w:rsidRDefault="009023B2" w:rsidP="00B83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Во</w:t>
            </w:r>
            <w:r w:rsidR="00B836D4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вчий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боб (люпин) </w:t>
            </w:r>
            <w:r w:rsidR="00B836D4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і вироби з нього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</w:p>
        </w:tc>
      </w:tr>
      <w:tr w:rsidR="00CC6A26" w:rsidRPr="00B836D4" w14:paraId="34F3909A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0554B638" w14:textId="77777777" w:rsidR="00CC6A26" w:rsidRPr="00B836D4" w:rsidRDefault="00CC6A26" w:rsidP="00902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</w:p>
        </w:tc>
        <w:tc>
          <w:tcPr>
            <w:tcW w:w="0" w:type="auto"/>
            <w:hideMark/>
          </w:tcPr>
          <w:p w14:paraId="1DDF38AB" w14:textId="77777777" w:rsidR="00CC6A26" w:rsidRPr="00B836D4" w:rsidRDefault="00CC6A26" w:rsidP="009023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14.</w:t>
            </w:r>
          </w:p>
        </w:tc>
        <w:tc>
          <w:tcPr>
            <w:tcW w:w="0" w:type="auto"/>
            <w:hideMark/>
          </w:tcPr>
          <w:p w14:paraId="178DC60D" w14:textId="77777777" w:rsidR="00CC6A26" w:rsidRPr="00B836D4" w:rsidRDefault="009023B2" w:rsidP="00B83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</w:pP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Молюски </w:t>
            </w:r>
            <w:r w:rsidR="00B836D4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і вироби з них</w:t>
            </w:r>
            <w:r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>.</w:t>
            </w:r>
            <w:r w:rsidR="00CC6A26" w:rsidRPr="00B836D4">
              <w:rPr>
                <w:rFonts w:ascii="Times New Roman" w:eastAsia="Times New Roman" w:hAnsi="Times New Roman"/>
                <w:sz w:val="24"/>
                <w:szCs w:val="24"/>
                <w:lang w:val="uk-UA" w:eastAsia="cs-CZ"/>
              </w:rPr>
              <w:t xml:space="preserve"> </w:t>
            </w:r>
          </w:p>
        </w:tc>
      </w:tr>
    </w:tbl>
    <w:p w14:paraId="7EFF4067" w14:textId="77777777" w:rsidR="00CC6A26" w:rsidRPr="00B836D4" w:rsidRDefault="000A3285" w:rsidP="00902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cs-CZ"/>
        </w:rPr>
      </w:pPr>
      <w:r w:rsidRPr="00B836D4">
        <w:rPr>
          <w:rFonts w:ascii="Times New Roman" w:eastAsia="Times New Roman" w:hAnsi="Times New Roman"/>
          <w:sz w:val="24"/>
          <w:szCs w:val="24"/>
          <w:lang w:val="uk-UA" w:eastAsia="cs-CZ"/>
        </w:rPr>
        <w:pict w14:anchorId="1670EEF1">
          <v:rect id="_x0000_i1025" style="width:0;height:1.5pt" o:hralign="center" o:hrstd="t" o:hr="t" fillcolor="#a0a0a0" stroked="f"/>
        </w:pict>
      </w:r>
    </w:p>
    <w:p w14:paraId="2156B52B" w14:textId="77777777" w:rsidR="00CC6A26" w:rsidRPr="00B836D4" w:rsidRDefault="000A3285" w:rsidP="00902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cs-CZ"/>
        </w:rPr>
      </w:pPr>
      <w:hyperlink r:id="rId10" w:anchor="ntc1-L_2011304CS.01004301-E0001" w:history="1">
        <w:r w:rsidR="00CC6A26" w:rsidRPr="00B836D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uk-UA" w:eastAsia="cs-CZ"/>
          </w:rPr>
          <w:t>(1)</w:t>
        </w:r>
      </w:hyperlink>
      <w:r w:rsidR="00CC6A26" w:rsidRPr="00B836D4">
        <w:rPr>
          <w:rFonts w:ascii="Times New Roman" w:eastAsia="Times New Roman" w:hAnsi="Times New Roman"/>
          <w:sz w:val="24"/>
          <w:szCs w:val="24"/>
          <w:lang w:val="uk-UA" w:eastAsia="cs-CZ"/>
        </w:rPr>
        <w:t>  </w:t>
      </w:r>
      <w:r w:rsidR="00B836D4" w:rsidRPr="00B836D4">
        <w:rPr>
          <w:rFonts w:ascii="Times New Roman" w:eastAsia="Times New Roman" w:hAnsi="Times New Roman"/>
          <w:sz w:val="24"/>
          <w:szCs w:val="24"/>
          <w:lang w:val="uk-UA" w:eastAsia="cs-CZ"/>
        </w:rPr>
        <w:t>І вироби з них, за умови, що обробка, якою вони пройшли, не збільшує рівень алергенності, встановлений Управлінням для відповідного основного продукту.</w:t>
      </w:r>
      <w:r w:rsidR="009023B2" w:rsidRPr="00B836D4">
        <w:rPr>
          <w:rFonts w:ascii="Times New Roman" w:eastAsia="Times New Roman" w:hAnsi="Times New Roman"/>
          <w:sz w:val="24"/>
          <w:szCs w:val="24"/>
          <w:lang w:val="uk-UA" w:eastAsia="cs-CZ"/>
        </w:rPr>
        <w:t xml:space="preserve"> </w:t>
      </w:r>
    </w:p>
    <w:sectPr w:rsidR="00CC6A26" w:rsidRPr="00B836D4" w:rsidSect="000A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c1MrMwMDU0NzRX0lEKTi0uzszPAykwrAUAaBTjsywAAAA="/>
  </w:docVars>
  <w:rsids>
    <w:rsidRoot w:val="00FE0D87"/>
    <w:rsid w:val="000326E4"/>
    <w:rsid w:val="00034B01"/>
    <w:rsid w:val="00096C5B"/>
    <w:rsid w:val="000A0180"/>
    <w:rsid w:val="000A3285"/>
    <w:rsid w:val="002278B2"/>
    <w:rsid w:val="00364BBE"/>
    <w:rsid w:val="003D3046"/>
    <w:rsid w:val="004259E7"/>
    <w:rsid w:val="004C7E44"/>
    <w:rsid w:val="00515BC9"/>
    <w:rsid w:val="00636C9B"/>
    <w:rsid w:val="00746C6F"/>
    <w:rsid w:val="00782188"/>
    <w:rsid w:val="007B60E9"/>
    <w:rsid w:val="00875CD2"/>
    <w:rsid w:val="00890BE8"/>
    <w:rsid w:val="009023B2"/>
    <w:rsid w:val="009F1885"/>
    <w:rsid w:val="00A719A2"/>
    <w:rsid w:val="00AD4E04"/>
    <w:rsid w:val="00B836D4"/>
    <w:rsid w:val="00BE4800"/>
    <w:rsid w:val="00BE6189"/>
    <w:rsid w:val="00C005A5"/>
    <w:rsid w:val="00C208DF"/>
    <w:rsid w:val="00C2508E"/>
    <w:rsid w:val="00C44E56"/>
    <w:rsid w:val="00CC6A26"/>
    <w:rsid w:val="00D55D2C"/>
    <w:rsid w:val="00E04BA8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7A9A"/>
  <w15:chartTrackingRefBased/>
  <w15:docId w15:val="{D2CFCF3E-4FAF-4CFB-A7ED-C549428E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285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C6A26"/>
  </w:style>
  <w:style w:type="paragraph" w:customStyle="1" w:styleId="Normln1">
    <w:name w:val="Normální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CC6A26"/>
    <w:rPr>
      <w:color w:val="0000FF"/>
      <w:u w:val="single"/>
    </w:rPr>
  </w:style>
  <w:style w:type="character" w:customStyle="1" w:styleId="super">
    <w:name w:val="super"/>
    <w:basedOn w:val="Standardnpsmoodstavce"/>
    <w:rsid w:val="00CC6A26"/>
  </w:style>
  <w:style w:type="character" w:customStyle="1" w:styleId="italic">
    <w:name w:val="italic"/>
    <w:basedOn w:val="Standardnpsmoodstavce"/>
    <w:rsid w:val="00CC6A26"/>
  </w:style>
  <w:style w:type="character" w:customStyle="1" w:styleId="sub">
    <w:name w:val="sub"/>
    <w:basedOn w:val="Standardnpsmoodstavce"/>
    <w:rsid w:val="00CC6A26"/>
  </w:style>
  <w:style w:type="paragraph" w:customStyle="1" w:styleId="note">
    <w:name w:val="note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HTML/?uri=CELEX:32011R1169&amp;from=C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ur-lex.europa.eu/legal-content/CS/TXT/HTML/?uri=CELEX:32011R1169&amp;from=C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CS/TXT/HTML/?uri=CELEX:32011R1169&amp;from=CS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CS/TXT/HTML/?uri=CELEX:32011R1169&amp;from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DC504-85D5-48F7-8988-30DC3FED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835F6-36FA-422D-AACB-1AF6434D0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BEA26-16F6-4951-B407-BBC594A80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24" baseType="variant">
      <vt:variant>
        <vt:i4>6946901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ntc1-L_2011304CS.01004301-E0001</vt:lpwstr>
      </vt:variant>
      <vt:variant>
        <vt:i4>6946884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ntr1-L_2011304CS.01004301-E0001</vt:lpwstr>
      </vt:variant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ntr1-L_2011304CS.01004301-E0001</vt:lpwstr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https://eur-lex.europa.eu/legal-content/CS/TXT/HTML/?uri=CELEX:32011R1169&amp;from=CS</vt:lpwstr>
      </vt:variant>
      <vt:variant>
        <vt:lpwstr>ntr1-L_2011304CS.01004301-E0001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cp:lastModifiedBy>Karel Kolář</cp:lastModifiedBy>
  <cp:revision>2</cp:revision>
  <dcterms:created xsi:type="dcterms:W3CDTF">2020-11-27T09:18:00Z</dcterms:created>
  <dcterms:modified xsi:type="dcterms:W3CDTF">2020-11-27T09:18:00Z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