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21F5" w14:textId="548AF8EB"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VIELAS VAI PRODUKTI, KAS IZRAISA ALERĢIJU VAI NEPANESAMĪBU</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6"/>
        <w:gridCol w:w="300"/>
        <w:gridCol w:w="8766"/>
      </w:tblGrid>
      <w:tr w:rsidR="002C5B0E" w:rsidRPr="002C5B0E" w14:paraId="1CA627B6" w14:textId="77777777" w:rsidTr="002C5B0E">
        <w:trPr>
          <w:tblCellSpacing w:w="0" w:type="dxa"/>
        </w:trPr>
        <w:tc>
          <w:tcPr>
            <w:tcW w:w="0" w:type="auto"/>
            <w:hideMark/>
          </w:tcPr>
          <w:p w14:paraId="26B68E12"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447508C1"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w:t>
            </w:r>
          </w:p>
        </w:tc>
        <w:tc>
          <w:tcPr>
            <w:tcW w:w="0" w:type="auto"/>
            <w:hideMark/>
          </w:tcPr>
          <w:p w14:paraId="58DDA123"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Labība, kas satur lipekli, t. i., kvieši, rudzi, mieži, auzas, speltas kvieši, triticum turgidum polonicum vai to hibridizēti celmi, un tās produkti, izņemot: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2C5B0E" w:rsidRPr="002C5B0E" w14:paraId="5E8AAEB1" w14:textId="77777777">
              <w:trPr>
                <w:tblCellSpacing w:w="0" w:type="dxa"/>
              </w:trPr>
              <w:tc>
                <w:tcPr>
                  <w:tcW w:w="0" w:type="auto"/>
                  <w:hideMark/>
                </w:tcPr>
                <w:p w14:paraId="497BB16D"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a)</w:t>
                  </w:r>
                </w:p>
              </w:tc>
              <w:tc>
                <w:tcPr>
                  <w:tcW w:w="0" w:type="auto"/>
                  <w:hideMark/>
                </w:tcPr>
                <w:p w14:paraId="29528A2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glikozes sīrupus uz kviešu bāzes, ietverot dekstrozi </w:t>
                  </w:r>
                  <w:hyperlink r:id="rId4" w:anchor="ntr1-L_2011304LV.01004301-E0001" w:history="1">
                    <w:r w:rsidRPr="002C5B0E">
                      <w:rPr>
                        <w:rFonts w:ascii="Times New Roman" w:eastAsia="Times New Roman" w:hAnsi="Times New Roman" w:cs="Times New Roman"/>
                        <w:color w:val="0000FF"/>
                        <w:sz w:val="24"/>
                        <w:szCs w:val="24"/>
                        <w:u w:val="single"/>
                        <w:lang w:eastAsia="cs-CZ"/>
                      </w:rPr>
                      <w:t>(1)</w:t>
                    </w:r>
                  </w:hyperlink>
                  <w:r w:rsidRPr="002C5B0E">
                    <w:rPr>
                      <w:rFonts w:ascii="Times New Roman" w:eastAsia="Times New Roman" w:hAnsi="Times New Roman" w:cs="Times New Roman"/>
                      <w:sz w:val="24"/>
                      <w:szCs w:val="24"/>
                      <w:lang w:eastAsia="cs-CZ"/>
                    </w:rPr>
                    <w:t>;</w:t>
                  </w:r>
                </w:p>
              </w:tc>
            </w:tr>
            <w:tr w:rsidR="002C5B0E" w:rsidRPr="002C5B0E" w14:paraId="77553C91" w14:textId="77777777">
              <w:trPr>
                <w:tblCellSpacing w:w="0" w:type="dxa"/>
              </w:trPr>
              <w:tc>
                <w:tcPr>
                  <w:tcW w:w="0" w:type="auto"/>
                  <w:hideMark/>
                </w:tcPr>
                <w:p w14:paraId="41DE7EE5"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b)</w:t>
                  </w:r>
                </w:p>
              </w:tc>
              <w:tc>
                <w:tcPr>
                  <w:tcW w:w="0" w:type="auto"/>
                  <w:hideMark/>
                </w:tcPr>
                <w:p w14:paraId="0FB6EAAA"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maltodekstrīnus uz kviešu bāzes </w:t>
                  </w:r>
                  <w:hyperlink r:id="rId5" w:anchor="ntr1-L_2011304LV.01004301-E0001" w:history="1">
                    <w:r w:rsidRPr="002C5B0E">
                      <w:rPr>
                        <w:rFonts w:ascii="Times New Roman" w:eastAsia="Times New Roman" w:hAnsi="Times New Roman" w:cs="Times New Roman"/>
                        <w:color w:val="0000FF"/>
                        <w:sz w:val="24"/>
                        <w:szCs w:val="24"/>
                        <w:u w:val="single"/>
                        <w:lang w:eastAsia="cs-CZ"/>
                      </w:rPr>
                      <w:t>(1)</w:t>
                    </w:r>
                  </w:hyperlink>
                  <w:r w:rsidRPr="002C5B0E">
                    <w:rPr>
                      <w:rFonts w:ascii="Times New Roman" w:eastAsia="Times New Roman" w:hAnsi="Times New Roman" w:cs="Times New Roman"/>
                      <w:sz w:val="24"/>
                      <w:szCs w:val="24"/>
                      <w:lang w:eastAsia="cs-CZ"/>
                    </w:rPr>
                    <w:t>;</w:t>
                  </w:r>
                </w:p>
              </w:tc>
            </w:tr>
            <w:tr w:rsidR="002C5B0E" w:rsidRPr="002C5B0E" w14:paraId="1436C25E" w14:textId="77777777">
              <w:trPr>
                <w:tblCellSpacing w:w="0" w:type="dxa"/>
              </w:trPr>
              <w:tc>
                <w:tcPr>
                  <w:tcW w:w="0" w:type="auto"/>
                  <w:hideMark/>
                </w:tcPr>
                <w:p w14:paraId="024F8F8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c)</w:t>
                  </w:r>
                </w:p>
              </w:tc>
              <w:tc>
                <w:tcPr>
                  <w:tcW w:w="0" w:type="auto"/>
                  <w:hideMark/>
                </w:tcPr>
                <w:p w14:paraId="4141CBDD"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glikozes sīrupus uz miežu bāzes;</w:t>
                  </w:r>
                </w:p>
              </w:tc>
            </w:tr>
            <w:tr w:rsidR="002C5B0E" w:rsidRPr="002C5B0E" w14:paraId="6F700F7E" w14:textId="77777777">
              <w:trPr>
                <w:tblCellSpacing w:w="0" w:type="dxa"/>
              </w:trPr>
              <w:tc>
                <w:tcPr>
                  <w:tcW w:w="0" w:type="auto"/>
                  <w:hideMark/>
                </w:tcPr>
                <w:p w14:paraId="7B9178E4"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d)</w:t>
                  </w:r>
                </w:p>
              </w:tc>
              <w:tc>
                <w:tcPr>
                  <w:tcW w:w="0" w:type="auto"/>
                  <w:hideMark/>
                </w:tcPr>
                <w:p w14:paraId="16D7CA14"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labību, ko izmanto, lai iegūtu alkohola destilātus, tostarp lauksaimnieciskas izcelsmes etilspirtu.</w:t>
                  </w:r>
                </w:p>
              </w:tc>
            </w:tr>
          </w:tbl>
          <w:p w14:paraId="390F57C0"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r>
      <w:tr w:rsidR="002C5B0E" w:rsidRPr="002C5B0E" w14:paraId="5B3F3A60" w14:textId="77777777" w:rsidTr="002C5B0E">
        <w:trPr>
          <w:tblCellSpacing w:w="0" w:type="dxa"/>
        </w:trPr>
        <w:tc>
          <w:tcPr>
            <w:tcW w:w="0" w:type="auto"/>
            <w:hideMark/>
          </w:tcPr>
          <w:p w14:paraId="29F2CBFD"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62886573"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2.</w:t>
            </w:r>
          </w:p>
        </w:tc>
        <w:tc>
          <w:tcPr>
            <w:tcW w:w="0" w:type="auto"/>
            <w:hideMark/>
          </w:tcPr>
          <w:p w14:paraId="25A8E3FD"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Vēžveidīgie un to produkti. </w:t>
            </w:r>
          </w:p>
        </w:tc>
      </w:tr>
      <w:tr w:rsidR="002C5B0E" w:rsidRPr="002C5B0E" w14:paraId="0A8B0A3A" w14:textId="77777777" w:rsidTr="002C5B0E">
        <w:trPr>
          <w:tblCellSpacing w:w="0" w:type="dxa"/>
        </w:trPr>
        <w:tc>
          <w:tcPr>
            <w:tcW w:w="0" w:type="auto"/>
            <w:hideMark/>
          </w:tcPr>
          <w:p w14:paraId="16B95C2C"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6011D05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3.</w:t>
            </w:r>
          </w:p>
        </w:tc>
        <w:tc>
          <w:tcPr>
            <w:tcW w:w="0" w:type="auto"/>
            <w:hideMark/>
          </w:tcPr>
          <w:p w14:paraId="2672509B"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Olas un to produkti. </w:t>
            </w:r>
          </w:p>
        </w:tc>
      </w:tr>
      <w:tr w:rsidR="002C5B0E" w:rsidRPr="002C5B0E" w14:paraId="7E8103CE" w14:textId="77777777" w:rsidTr="002C5B0E">
        <w:trPr>
          <w:tblCellSpacing w:w="0" w:type="dxa"/>
        </w:trPr>
        <w:tc>
          <w:tcPr>
            <w:tcW w:w="0" w:type="auto"/>
            <w:hideMark/>
          </w:tcPr>
          <w:p w14:paraId="01F2DE8B"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5D503A2F"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4.</w:t>
            </w:r>
          </w:p>
        </w:tc>
        <w:tc>
          <w:tcPr>
            <w:tcW w:w="0" w:type="auto"/>
            <w:hideMark/>
          </w:tcPr>
          <w:p w14:paraId="69D5060D"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Zivis un to produkti, izņemot: </w:t>
            </w:r>
          </w:p>
          <w:tbl>
            <w:tblPr>
              <w:tblW w:w="5000" w:type="pct"/>
              <w:tblCellSpacing w:w="0" w:type="dxa"/>
              <w:tblCellMar>
                <w:left w:w="0" w:type="dxa"/>
                <w:right w:w="0" w:type="dxa"/>
              </w:tblCellMar>
              <w:tblLook w:val="04A0" w:firstRow="1" w:lastRow="0" w:firstColumn="1" w:lastColumn="0" w:noHBand="0" w:noVBand="1"/>
            </w:tblPr>
            <w:tblGrid>
              <w:gridCol w:w="264"/>
              <w:gridCol w:w="8502"/>
            </w:tblGrid>
            <w:tr w:rsidR="002C5B0E" w:rsidRPr="002C5B0E" w14:paraId="1BC32391" w14:textId="77777777">
              <w:trPr>
                <w:tblCellSpacing w:w="0" w:type="dxa"/>
              </w:trPr>
              <w:tc>
                <w:tcPr>
                  <w:tcW w:w="0" w:type="auto"/>
                  <w:hideMark/>
                </w:tcPr>
                <w:p w14:paraId="2C55FD8F"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a)</w:t>
                  </w:r>
                </w:p>
              </w:tc>
              <w:tc>
                <w:tcPr>
                  <w:tcW w:w="0" w:type="auto"/>
                  <w:hideMark/>
                </w:tcPr>
                <w:p w14:paraId="79ED32CF"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zivju želatīnu, ko izmanto vitamīnu vai karotinoīdu preparātiem;</w:t>
                  </w:r>
                </w:p>
              </w:tc>
            </w:tr>
            <w:tr w:rsidR="002C5B0E" w:rsidRPr="002C5B0E" w14:paraId="0727D6B1" w14:textId="77777777">
              <w:trPr>
                <w:tblCellSpacing w:w="0" w:type="dxa"/>
              </w:trPr>
              <w:tc>
                <w:tcPr>
                  <w:tcW w:w="0" w:type="auto"/>
                  <w:hideMark/>
                </w:tcPr>
                <w:p w14:paraId="0D7A54E5"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b)</w:t>
                  </w:r>
                </w:p>
              </w:tc>
              <w:tc>
                <w:tcPr>
                  <w:tcW w:w="0" w:type="auto"/>
                  <w:hideMark/>
                </w:tcPr>
                <w:p w14:paraId="29178A78"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zivju želatīnu vai zivju līmi, ko izmanto alus un vīna dzidrināšanai.</w:t>
                  </w:r>
                </w:p>
              </w:tc>
            </w:tr>
          </w:tbl>
          <w:p w14:paraId="1E640784"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r>
      <w:tr w:rsidR="002C5B0E" w:rsidRPr="002C5B0E" w14:paraId="259CDB52" w14:textId="77777777" w:rsidTr="002C5B0E">
        <w:trPr>
          <w:tblCellSpacing w:w="0" w:type="dxa"/>
        </w:trPr>
        <w:tc>
          <w:tcPr>
            <w:tcW w:w="0" w:type="auto"/>
            <w:hideMark/>
          </w:tcPr>
          <w:p w14:paraId="49535524"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1CF6348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5.</w:t>
            </w:r>
          </w:p>
        </w:tc>
        <w:tc>
          <w:tcPr>
            <w:tcW w:w="0" w:type="auto"/>
            <w:hideMark/>
          </w:tcPr>
          <w:p w14:paraId="2C49C87B"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Zemesrieksti un to produkti. </w:t>
            </w:r>
          </w:p>
        </w:tc>
      </w:tr>
      <w:tr w:rsidR="002C5B0E" w:rsidRPr="002C5B0E" w14:paraId="2070ACC2" w14:textId="77777777" w:rsidTr="002C5B0E">
        <w:trPr>
          <w:tblCellSpacing w:w="0" w:type="dxa"/>
        </w:trPr>
        <w:tc>
          <w:tcPr>
            <w:tcW w:w="0" w:type="auto"/>
            <w:hideMark/>
          </w:tcPr>
          <w:p w14:paraId="65C34506"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0F3BF4D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6.</w:t>
            </w:r>
          </w:p>
        </w:tc>
        <w:tc>
          <w:tcPr>
            <w:tcW w:w="0" w:type="auto"/>
            <w:hideMark/>
          </w:tcPr>
          <w:p w14:paraId="0A2C80AD"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Sojas pupas un to produkti, izņemot: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2C5B0E" w:rsidRPr="002C5B0E" w14:paraId="1CB5192A" w14:textId="77777777">
              <w:trPr>
                <w:tblCellSpacing w:w="0" w:type="dxa"/>
              </w:trPr>
              <w:tc>
                <w:tcPr>
                  <w:tcW w:w="0" w:type="auto"/>
                  <w:hideMark/>
                </w:tcPr>
                <w:p w14:paraId="68511289"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a)</w:t>
                  </w:r>
                </w:p>
              </w:tc>
              <w:tc>
                <w:tcPr>
                  <w:tcW w:w="0" w:type="auto"/>
                  <w:hideMark/>
                </w:tcPr>
                <w:p w14:paraId="0940F9A0"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pilnībā rafinētu sojas pupu eļļu un taukus </w:t>
                  </w:r>
                  <w:hyperlink r:id="rId6" w:anchor="ntr1-L_2011304LV.01004301-E0001" w:history="1">
                    <w:r w:rsidRPr="002C5B0E">
                      <w:rPr>
                        <w:rFonts w:ascii="Times New Roman" w:eastAsia="Times New Roman" w:hAnsi="Times New Roman" w:cs="Times New Roman"/>
                        <w:color w:val="0000FF"/>
                        <w:sz w:val="24"/>
                        <w:szCs w:val="24"/>
                        <w:u w:val="single"/>
                        <w:lang w:eastAsia="cs-CZ"/>
                      </w:rPr>
                      <w:t>(1)</w:t>
                    </w:r>
                  </w:hyperlink>
                  <w:r w:rsidRPr="002C5B0E">
                    <w:rPr>
                      <w:rFonts w:ascii="Times New Roman" w:eastAsia="Times New Roman" w:hAnsi="Times New Roman" w:cs="Times New Roman"/>
                      <w:sz w:val="24"/>
                      <w:szCs w:val="24"/>
                      <w:lang w:eastAsia="cs-CZ"/>
                    </w:rPr>
                    <w:t>;</w:t>
                  </w:r>
                </w:p>
              </w:tc>
            </w:tr>
            <w:tr w:rsidR="002C5B0E" w:rsidRPr="002C5B0E" w14:paraId="3E3783EE" w14:textId="77777777">
              <w:trPr>
                <w:tblCellSpacing w:w="0" w:type="dxa"/>
              </w:trPr>
              <w:tc>
                <w:tcPr>
                  <w:tcW w:w="0" w:type="auto"/>
                  <w:hideMark/>
                </w:tcPr>
                <w:p w14:paraId="26D64B91"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b)</w:t>
                  </w:r>
                </w:p>
              </w:tc>
              <w:tc>
                <w:tcPr>
                  <w:tcW w:w="0" w:type="auto"/>
                  <w:hideMark/>
                </w:tcPr>
                <w:p w14:paraId="061DBF10"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no sojas pupām iegūtus dabiskus jauktus tokoferolus (E306), dabisku D-alfa tokoferolu, dabisku D-alfa tokoferola acetātu, dabisku D-alfa tokoferola sukcinātu;</w:t>
                  </w:r>
                </w:p>
              </w:tc>
            </w:tr>
            <w:tr w:rsidR="002C5B0E" w:rsidRPr="002C5B0E" w14:paraId="00FB3CA0" w14:textId="77777777">
              <w:trPr>
                <w:tblCellSpacing w:w="0" w:type="dxa"/>
              </w:trPr>
              <w:tc>
                <w:tcPr>
                  <w:tcW w:w="0" w:type="auto"/>
                  <w:hideMark/>
                </w:tcPr>
                <w:p w14:paraId="436BF5D3"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c)</w:t>
                  </w:r>
                </w:p>
              </w:tc>
              <w:tc>
                <w:tcPr>
                  <w:tcW w:w="0" w:type="auto"/>
                  <w:hideMark/>
                </w:tcPr>
                <w:p w14:paraId="1FC26DCE"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fitosterīnus un fitosterolesterus, kas atvasināti no augu eļļas, kura iegūta no sojas pupām;</w:t>
                  </w:r>
                </w:p>
              </w:tc>
            </w:tr>
            <w:tr w:rsidR="002C5B0E" w:rsidRPr="002C5B0E" w14:paraId="0AA9FD77" w14:textId="77777777">
              <w:trPr>
                <w:tblCellSpacing w:w="0" w:type="dxa"/>
              </w:trPr>
              <w:tc>
                <w:tcPr>
                  <w:tcW w:w="0" w:type="auto"/>
                  <w:hideMark/>
                </w:tcPr>
                <w:p w14:paraId="6C3D2B6E"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d)</w:t>
                  </w:r>
                </w:p>
              </w:tc>
              <w:tc>
                <w:tcPr>
                  <w:tcW w:w="0" w:type="auto"/>
                  <w:hideMark/>
                </w:tcPr>
                <w:p w14:paraId="01B7FE78"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fitostanolesterus, kas iegūti no tādas augu eļļas steroliem, kura iegūta no sojas pupām.</w:t>
                  </w:r>
                </w:p>
              </w:tc>
            </w:tr>
          </w:tbl>
          <w:p w14:paraId="366D76BB"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r>
      <w:tr w:rsidR="002C5B0E" w:rsidRPr="002C5B0E" w14:paraId="7A465CC6" w14:textId="77777777" w:rsidTr="002C5B0E">
        <w:trPr>
          <w:tblCellSpacing w:w="0" w:type="dxa"/>
        </w:trPr>
        <w:tc>
          <w:tcPr>
            <w:tcW w:w="0" w:type="auto"/>
            <w:hideMark/>
          </w:tcPr>
          <w:p w14:paraId="28F4F4F8"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586690B4"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7.</w:t>
            </w:r>
          </w:p>
        </w:tc>
        <w:tc>
          <w:tcPr>
            <w:tcW w:w="0" w:type="auto"/>
            <w:hideMark/>
          </w:tcPr>
          <w:p w14:paraId="71CA3596"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Piens un tā produkti (ietverot laktozi), izņemot: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2C5B0E" w:rsidRPr="002C5B0E" w14:paraId="7052A560" w14:textId="77777777">
              <w:trPr>
                <w:tblCellSpacing w:w="0" w:type="dxa"/>
              </w:trPr>
              <w:tc>
                <w:tcPr>
                  <w:tcW w:w="0" w:type="auto"/>
                  <w:hideMark/>
                </w:tcPr>
                <w:p w14:paraId="7576A06B"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a)</w:t>
                  </w:r>
                </w:p>
              </w:tc>
              <w:tc>
                <w:tcPr>
                  <w:tcW w:w="0" w:type="auto"/>
                  <w:hideMark/>
                </w:tcPr>
                <w:p w14:paraId="62F51C7C"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sūkalas, ko izmanto, lai iegūtu alkohola destilātus, tostarp lauksaimnieciskas izcelsmes etilspirtu;</w:t>
                  </w:r>
                </w:p>
              </w:tc>
            </w:tr>
            <w:tr w:rsidR="002C5B0E" w:rsidRPr="002C5B0E" w14:paraId="2278B277" w14:textId="77777777">
              <w:trPr>
                <w:tblCellSpacing w:w="0" w:type="dxa"/>
              </w:trPr>
              <w:tc>
                <w:tcPr>
                  <w:tcW w:w="0" w:type="auto"/>
                  <w:hideMark/>
                </w:tcPr>
                <w:p w14:paraId="4FE8A8F2"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b)</w:t>
                  </w:r>
                </w:p>
              </w:tc>
              <w:tc>
                <w:tcPr>
                  <w:tcW w:w="0" w:type="auto"/>
                  <w:hideMark/>
                </w:tcPr>
                <w:p w14:paraId="2BA6362A"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laktitolu.</w:t>
                  </w:r>
                </w:p>
              </w:tc>
            </w:tr>
          </w:tbl>
          <w:p w14:paraId="0B634478"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r>
      <w:tr w:rsidR="002C5B0E" w:rsidRPr="002C5B0E" w14:paraId="5CD3FAD3" w14:textId="77777777" w:rsidTr="002C5B0E">
        <w:trPr>
          <w:tblCellSpacing w:w="0" w:type="dxa"/>
        </w:trPr>
        <w:tc>
          <w:tcPr>
            <w:tcW w:w="0" w:type="auto"/>
            <w:hideMark/>
          </w:tcPr>
          <w:p w14:paraId="638FE157"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21C4A9BD"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8.</w:t>
            </w:r>
          </w:p>
        </w:tc>
        <w:tc>
          <w:tcPr>
            <w:tcW w:w="0" w:type="auto"/>
            <w:hideMark/>
          </w:tcPr>
          <w:p w14:paraId="10B0770D"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Rieksti, t. i., mandeles (Amygdalus communis L.), lazdu rieksti (Corylus avellana), valrieksti (Juglans regia), Indijas rieksti (Anacardium occidentale), pekanrieksti (Carya illinoiesis (Wangenh.) K. Koch), Brazīlijas rieksti (Bertholletia excelsa), pistāciju rieksti (Pistacia vera), makadāmijas jeb Kvīnslendas rieksti (Macadamia ternifolia) un to produkti, izņemot riekstus, ko izmanto, lai iegūtu alkohola destilātus, tostarp lauksaimnieciskas izcelsmes etilspirtu. </w:t>
            </w:r>
          </w:p>
        </w:tc>
      </w:tr>
      <w:tr w:rsidR="002C5B0E" w:rsidRPr="002C5B0E" w14:paraId="233206F7" w14:textId="77777777" w:rsidTr="002C5B0E">
        <w:trPr>
          <w:tblCellSpacing w:w="0" w:type="dxa"/>
        </w:trPr>
        <w:tc>
          <w:tcPr>
            <w:tcW w:w="0" w:type="auto"/>
            <w:hideMark/>
          </w:tcPr>
          <w:p w14:paraId="7B917B85"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173C9EF2"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9.</w:t>
            </w:r>
          </w:p>
        </w:tc>
        <w:tc>
          <w:tcPr>
            <w:tcW w:w="0" w:type="auto"/>
            <w:hideMark/>
          </w:tcPr>
          <w:p w14:paraId="0BAA66AF"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Selerijas un to produkti. </w:t>
            </w:r>
          </w:p>
        </w:tc>
      </w:tr>
      <w:tr w:rsidR="002C5B0E" w:rsidRPr="002C5B0E" w14:paraId="0E5B5A0A" w14:textId="77777777" w:rsidTr="002C5B0E">
        <w:trPr>
          <w:tblCellSpacing w:w="0" w:type="dxa"/>
        </w:trPr>
        <w:tc>
          <w:tcPr>
            <w:tcW w:w="0" w:type="auto"/>
            <w:hideMark/>
          </w:tcPr>
          <w:p w14:paraId="6BDA07B2"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26661B19"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10.</w:t>
            </w:r>
          </w:p>
        </w:tc>
        <w:tc>
          <w:tcPr>
            <w:tcW w:w="0" w:type="auto"/>
            <w:hideMark/>
          </w:tcPr>
          <w:p w14:paraId="362A430F"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Sinepes un to produkti. </w:t>
            </w:r>
          </w:p>
        </w:tc>
      </w:tr>
      <w:tr w:rsidR="002C5B0E" w:rsidRPr="002C5B0E" w14:paraId="6C21A24C" w14:textId="77777777" w:rsidTr="002C5B0E">
        <w:trPr>
          <w:tblCellSpacing w:w="0" w:type="dxa"/>
        </w:trPr>
        <w:tc>
          <w:tcPr>
            <w:tcW w:w="0" w:type="auto"/>
            <w:hideMark/>
          </w:tcPr>
          <w:p w14:paraId="670B7F72"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3F2530D3"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11.</w:t>
            </w:r>
          </w:p>
        </w:tc>
        <w:tc>
          <w:tcPr>
            <w:tcW w:w="0" w:type="auto"/>
            <w:hideMark/>
          </w:tcPr>
          <w:p w14:paraId="10CEE486"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Sezama sēklas un to produkti. </w:t>
            </w:r>
          </w:p>
        </w:tc>
      </w:tr>
      <w:tr w:rsidR="002C5B0E" w:rsidRPr="002C5B0E" w14:paraId="2318545E" w14:textId="77777777" w:rsidTr="002C5B0E">
        <w:trPr>
          <w:tblCellSpacing w:w="0" w:type="dxa"/>
        </w:trPr>
        <w:tc>
          <w:tcPr>
            <w:tcW w:w="0" w:type="auto"/>
            <w:hideMark/>
          </w:tcPr>
          <w:p w14:paraId="28E79B51"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583E3902"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12.</w:t>
            </w:r>
          </w:p>
        </w:tc>
        <w:tc>
          <w:tcPr>
            <w:tcW w:w="0" w:type="auto"/>
            <w:hideMark/>
          </w:tcPr>
          <w:p w14:paraId="661DDF9C"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Sēra dioksīds un sulfīti, ja to koncentrācija pārsniedz 10 m/kg vai 10 mg/l kopējā SO2, kas ir jāaprēķina produktiem, ko piedāvā kā gatavus patēriņam vai kuru sākotnējā forma jāatjauno saskaņā ar ražotāju instrukcijām. </w:t>
            </w:r>
          </w:p>
        </w:tc>
      </w:tr>
      <w:tr w:rsidR="002C5B0E" w:rsidRPr="002C5B0E" w14:paraId="5865A587" w14:textId="77777777" w:rsidTr="002C5B0E">
        <w:trPr>
          <w:tblCellSpacing w:w="0" w:type="dxa"/>
        </w:trPr>
        <w:tc>
          <w:tcPr>
            <w:tcW w:w="0" w:type="auto"/>
            <w:hideMark/>
          </w:tcPr>
          <w:p w14:paraId="1EE7B862"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3A995527"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13.</w:t>
            </w:r>
          </w:p>
        </w:tc>
        <w:tc>
          <w:tcPr>
            <w:tcW w:w="0" w:type="auto"/>
            <w:hideMark/>
          </w:tcPr>
          <w:p w14:paraId="276492EF"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Lupīna un tās produkti. </w:t>
            </w:r>
          </w:p>
        </w:tc>
      </w:tr>
      <w:tr w:rsidR="002C5B0E" w:rsidRPr="002C5B0E" w14:paraId="39120307" w14:textId="77777777" w:rsidTr="002C5B0E">
        <w:trPr>
          <w:tblCellSpacing w:w="0" w:type="dxa"/>
        </w:trPr>
        <w:tc>
          <w:tcPr>
            <w:tcW w:w="0" w:type="auto"/>
            <w:hideMark/>
          </w:tcPr>
          <w:p w14:paraId="6D575A6F"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p>
        </w:tc>
        <w:tc>
          <w:tcPr>
            <w:tcW w:w="0" w:type="auto"/>
            <w:hideMark/>
          </w:tcPr>
          <w:p w14:paraId="4B3549F6" w14:textId="77777777" w:rsidR="002C5B0E" w:rsidRPr="002C5B0E" w:rsidRDefault="002C5B0E" w:rsidP="002C5B0E">
            <w:pPr>
              <w:spacing w:before="100" w:beforeAutospacing="1" w:after="100" w:afterAutospacing="1"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14.</w:t>
            </w:r>
          </w:p>
        </w:tc>
        <w:tc>
          <w:tcPr>
            <w:tcW w:w="0" w:type="auto"/>
            <w:hideMark/>
          </w:tcPr>
          <w:p w14:paraId="56634319"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t xml:space="preserve">Gliemji un to produkti. </w:t>
            </w:r>
          </w:p>
        </w:tc>
      </w:tr>
    </w:tbl>
    <w:p w14:paraId="030B016F" w14:textId="77777777" w:rsidR="002C5B0E" w:rsidRPr="002C5B0E" w:rsidRDefault="002C5B0E" w:rsidP="002C5B0E">
      <w:pPr>
        <w:spacing w:after="0" w:line="240" w:lineRule="auto"/>
        <w:rPr>
          <w:rFonts w:ascii="Times New Roman" w:eastAsia="Times New Roman" w:hAnsi="Times New Roman" w:cs="Times New Roman"/>
          <w:sz w:val="24"/>
          <w:szCs w:val="24"/>
          <w:lang w:eastAsia="cs-CZ"/>
        </w:rPr>
      </w:pPr>
      <w:r w:rsidRPr="002C5B0E">
        <w:rPr>
          <w:rFonts w:ascii="Times New Roman" w:eastAsia="Times New Roman" w:hAnsi="Times New Roman" w:cs="Times New Roman"/>
          <w:sz w:val="24"/>
          <w:szCs w:val="24"/>
          <w:lang w:eastAsia="cs-CZ"/>
        </w:rPr>
        <w:pict w14:anchorId="51DD4BBB">
          <v:rect id="_x0000_i1025" style="width:0;height:1.5pt" o:hralign="center" o:hrstd="t" o:hr="t" fillcolor="#a0a0a0" stroked="f"/>
        </w:pict>
      </w:r>
    </w:p>
    <w:p w14:paraId="4BDA1051" w14:textId="182B69EA" w:rsidR="00364BBE" w:rsidRPr="00606A02" w:rsidRDefault="002C5B0E" w:rsidP="00606A02">
      <w:pPr>
        <w:spacing w:before="100" w:beforeAutospacing="1" w:after="100" w:afterAutospacing="1" w:line="240" w:lineRule="auto"/>
        <w:rPr>
          <w:rFonts w:ascii="Times New Roman" w:eastAsia="Times New Roman" w:hAnsi="Times New Roman" w:cs="Times New Roman"/>
          <w:sz w:val="24"/>
          <w:szCs w:val="24"/>
          <w:lang w:eastAsia="cs-CZ"/>
        </w:rPr>
      </w:pPr>
      <w:hyperlink r:id="rId7" w:anchor="ntc1-L_2011304LV.01004301-E0001" w:history="1">
        <w:r w:rsidRPr="002C5B0E">
          <w:rPr>
            <w:rFonts w:ascii="Times New Roman" w:eastAsia="Times New Roman" w:hAnsi="Times New Roman" w:cs="Times New Roman"/>
            <w:color w:val="0000FF"/>
            <w:sz w:val="24"/>
            <w:szCs w:val="24"/>
            <w:u w:val="single"/>
            <w:lang w:eastAsia="cs-CZ"/>
          </w:rPr>
          <w:t>(1)</w:t>
        </w:r>
      </w:hyperlink>
      <w:r w:rsidRPr="002C5B0E">
        <w:rPr>
          <w:rFonts w:ascii="Times New Roman" w:eastAsia="Times New Roman" w:hAnsi="Times New Roman" w:cs="Times New Roman"/>
          <w:sz w:val="24"/>
          <w:szCs w:val="24"/>
          <w:lang w:eastAsia="cs-CZ"/>
        </w:rPr>
        <w:t>  Un to produktus, ja vien to apstrādes procesā nevar palielināties alergēniskuma līmenis, ko attiecīgā iestāde izvērtējusi atbilstīgajam produktam, no kura tie iegūti.</w:t>
      </w:r>
    </w:p>
    <w:sectPr w:rsidR="00364BBE" w:rsidRPr="00606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srAwNDC2NDc0NbFU0lEKTi0uzszPAykwrAUAjiE2UCwAAAA="/>
  </w:docVars>
  <w:rsids>
    <w:rsidRoot w:val="00B024A2"/>
    <w:rsid w:val="002C5B0E"/>
    <w:rsid w:val="00364BBE"/>
    <w:rsid w:val="00606A02"/>
    <w:rsid w:val="00B024A2"/>
    <w:rsid w:val="00C20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D585"/>
  <w15:chartTrackingRefBased/>
  <w15:docId w15:val="{AD06087E-CBBD-4059-BF23-29F2AE58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grseq-1">
    <w:name w:val="ti-grseq-1"/>
    <w:basedOn w:val="Normln"/>
    <w:rsid w:val="002C5B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2C5B0E"/>
  </w:style>
  <w:style w:type="paragraph" w:customStyle="1" w:styleId="normal">
    <w:name w:val="normal"/>
    <w:basedOn w:val="Normln"/>
    <w:rsid w:val="002C5B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2C5B0E"/>
  </w:style>
  <w:style w:type="character" w:styleId="Hypertextovodkaz">
    <w:name w:val="Hyperlink"/>
    <w:basedOn w:val="Standardnpsmoodstavce"/>
    <w:uiPriority w:val="99"/>
    <w:semiHidden/>
    <w:unhideWhenUsed/>
    <w:rsid w:val="002C5B0E"/>
    <w:rPr>
      <w:color w:val="0000FF"/>
      <w:u w:val="single"/>
    </w:rPr>
  </w:style>
  <w:style w:type="character" w:customStyle="1" w:styleId="super">
    <w:name w:val="super"/>
    <w:basedOn w:val="Standardnpsmoodstavce"/>
    <w:rsid w:val="002C5B0E"/>
  </w:style>
  <w:style w:type="character" w:customStyle="1" w:styleId="sub">
    <w:name w:val="sub"/>
    <w:basedOn w:val="Standardnpsmoodstavce"/>
    <w:rsid w:val="002C5B0E"/>
  </w:style>
  <w:style w:type="paragraph" w:customStyle="1" w:styleId="note">
    <w:name w:val="note"/>
    <w:basedOn w:val="Normln"/>
    <w:rsid w:val="002C5B0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LV/TXT/HTML/?uri=CELEX:32011R1169&amp;from=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LV/TXT/HTML/?uri=CELEX:32011R1169&amp;from=CS" TargetMode="External"/><Relationship Id="rId5" Type="http://schemas.openxmlformats.org/officeDocument/2006/relationships/hyperlink" Target="https://eur-lex.europa.eu/legal-content/LV/TXT/HTML/?uri=CELEX:32011R1169&amp;from=CS" TargetMode="External"/><Relationship Id="rId4" Type="http://schemas.openxmlformats.org/officeDocument/2006/relationships/hyperlink" Target="https://eur-lex.europa.eu/legal-content/LV/TXT/HTML/?uri=CELEX:32011R1169&amp;from=CS"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2523</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Kolář</dc:creator>
  <cp:keywords/>
  <dc:description/>
  <cp:lastModifiedBy>Karel Kolář</cp:lastModifiedBy>
  <cp:revision>3</cp:revision>
  <dcterms:created xsi:type="dcterms:W3CDTF">2019-11-07T19:33:00Z</dcterms:created>
  <dcterms:modified xsi:type="dcterms:W3CDTF">2019-11-07T19:34:00Z</dcterms:modified>
</cp:coreProperties>
</file>