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19" w:rsidRPr="00720B19" w:rsidRDefault="00720B19" w:rsidP="00720B19">
      <w:pPr>
        <w:spacing w:before="60" w:after="120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val="es-ES" w:eastAsia="cs-CZ"/>
        </w:rPr>
      </w:pPr>
      <w:r w:rsidRPr="00720B19">
        <w:rPr>
          <w:rFonts w:ascii="Arial" w:eastAsia="Times New Roman" w:hAnsi="Arial" w:cs="Arial"/>
          <w:caps/>
          <w:color w:val="206875"/>
          <w:sz w:val="31"/>
          <w:szCs w:val="31"/>
          <w:lang w:val="es-ES" w:eastAsia="cs-CZ"/>
        </w:rPr>
        <w:t xml:space="preserve">CALENDARIO DE MEDIDAS DE </w:t>
      </w:r>
      <w:r w:rsidR="00785EB1">
        <w:rPr>
          <w:rFonts w:ascii="Arial" w:eastAsia="Times New Roman" w:hAnsi="Arial" w:cs="Arial"/>
          <w:caps/>
          <w:color w:val="206875"/>
          <w:sz w:val="31"/>
          <w:szCs w:val="31"/>
          <w:lang w:val="es-ES" w:eastAsia="cs-CZ"/>
        </w:rPr>
        <w:t>levantamiento</w:t>
      </w:r>
      <w:r w:rsidR="00643D5D">
        <w:rPr>
          <w:rFonts w:ascii="Arial" w:eastAsia="Times New Roman" w:hAnsi="Arial" w:cs="Arial"/>
          <w:caps/>
          <w:color w:val="206875"/>
          <w:sz w:val="31"/>
          <w:szCs w:val="31"/>
          <w:lang w:val="es-ES" w:eastAsia="cs-CZ"/>
        </w:rPr>
        <w:t xml:space="preserve"> de la cuarentena</w:t>
      </w:r>
      <w:r w:rsidRPr="00720B19">
        <w:rPr>
          <w:rFonts w:ascii="Arial" w:eastAsia="Times New Roman" w:hAnsi="Arial" w:cs="Arial"/>
          <w:caps/>
          <w:color w:val="206875"/>
          <w:sz w:val="31"/>
          <w:szCs w:val="31"/>
          <w:lang w:val="es-ES" w:eastAsia="cs-CZ"/>
        </w:rPr>
        <w:t xml:space="preserve"> EN EL ÁMBITO DE LA EDUCACIÓN</w:t>
      </w:r>
      <w:r w:rsidR="009317C1">
        <w:rPr>
          <w:rFonts w:ascii="Arial" w:eastAsia="Times New Roman" w:hAnsi="Arial" w:cs="Arial"/>
          <w:caps/>
          <w:color w:val="206875"/>
          <w:sz w:val="31"/>
          <w:szCs w:val="31"/>
          <w:lang w:val="es-ES" w:eastAsia="cs-CZ"/>
        </w:rPr>
        <w:t xml:space="preserve"> </w:t>
      </w:r>
    </w:p>
    <w:p w:rsidR="00720B19" w:rsidRPr="003E07C2" w:rsidRDefault="00720B19" w:rsidP="00720B19">
      <w:pPr>
        <w:rPr>
          <w:sz w:val="16"/>
          <w:szCs w:val="16"/>
          <w:lang w:val="es-ES"/>
        </w:rPr>
      </w:pPr>
    </w:p>
    <w:p w:rsidR="00851D41" w:rsidRDefault="00720B19" w:rsidP="00785EB1">
      <w:p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En los últimos días, el Ministerio de Educación, Juventud y Deportes ha trabajado intensamente con el Ministerio de Salud y Epidemiólogos 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sobre el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levantamiento de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medidas de emergencia en el 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sector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de la educación como parte del escenario general de 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levantamiento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. El regreso a las escuelas en un régimen limitado afectará principalmente a aquellos que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este año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se 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graduarán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, 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van a hacer el examen estatal,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examen de 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la licenciatura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o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el examen final. Los alumnos de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la educación primaria</w:t>
      </w:r>
      <w:r w:rsidR="004B3DF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– primer grado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(1.-5. c</w:t>
      </w:r>
      <w:r w:rsidR="003E07C2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urso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)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podrán regresar a las escuelas de forma voluntaria. Para otros, incluidos los alumnos de 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algunas 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escuelas especiales, las escuelas permanecerán en gran parte cerradas 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hasta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el final del año escolar. El cronograma refleja la situación epidemiológica actual en la República Checa y es parte de las medidas de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l levantamiento 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del Ministerio de Salud y el Gobierno. Dependiendo del desarrollo de la situación epidemiológica, 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este cronograma 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puede actualizarse o complementarse. También se especificará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n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gradualmente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las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informaci</w:t>
      </w:r>
      <w:r w:rsidR="00785EB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ones</w:t>
      </w:r>
      <w:r w:rsidRPr="00720B1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sobre reciclaje, educación lingüística, campamentos de verano y educación no formal (círculos).</w:t>
      </w:r>
      <w:r w:rsidR="009317C1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</w:t>
      </w:r>
    </w:p>
    <w:p w:rsidR="00785EB1" w:rsidRPr="00A90FB9" w:rsidRDefault="009317C1" w:rsidP="00785EB1">
      <w:pPr>
        <w:spacing w:after="33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7F3B2D8D">
          <v:rect id="_x0000_i1025" alt="" style="width:452.25pt;height:.05pt;mso-width-percent:0;mso-height-percent:0;mso-width-percent:0;mso-height-percent:0" o:hrpct="997" o:hralign="center" o:hrstd="t" o:hr="t" fillcolor="#a0a0a0" stroked="f"/>
        </w:pict>
      </w:r>
    </w:p>
    <w:p w:rsidR="0064705C" w:rsidRPr="0064705C" w:rsidRDefault="0064705C" w:rsidP="0064705C">
      <w:pPr>
        <w:spacing w:after="160"/>
        <w:jc w:val="both"/>
        <w:rPr>
          <w:rFonts w:ascii="Times New Roman" w:eastAsia="Times New Roman" w:hAnsi="Times New Roman" w:cs="Times New Roman"/>
          <w:b/>
          <w:color w:val="000000"/>
          <w:lang w:val="es-ES" w:eastAsia="cs-CZ"/>
        </w:rPr>
      </w:pPr>
      <w:bookmarkStart w:id="0" w:name="_Hlk39751424"/>
      <w:r w:rsidRPr="0064705C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>A partir del 11 de mayo</w:t>
      </w:r>
      <w:r w:rsidRPr="0064705C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, los </w:t>
      </w:r>
      <w:r w:rsidRPr="0064705C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>alumnos de</w:t>
      </w:r>
      <w:r w:rsidRPr="0064705C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 </w:t>
      </w:r>
      <w:r w:rsidRPr="0064705C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>9. curso</w:t>
      </w:r>
      <w:r w:rsidRPr="0064705C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 también podrán asistir a las escuelas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para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prepararse para los exámenes de selectividad para las escuelas secundarias.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La asistencia 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para los anteriormente mencionados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no será obligatoria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, se realizará en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grupos de un máximo de 15 personas.</w:t>
      </w:r>
    </w:p>
    <w:p w:rsidR="0064705C" w:rsidRPr="0064705C" w:rsidRDefault="0064705C" w:rsidP="0064705C">
      <w:p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También será posible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la presencia personal en la escuela durante las clases en escuelas de arte primarias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,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escuelas de idiomas con derecho a un examen estatal de idiomas y en cursos de idiomas extranjeros de un año con matrícula a tiempo completo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. Nuevamente,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la enseñanza puede llevarse a cabo en grupos de hasta 15 personas.</w:t>
      </w:r>
    </w:p>
    <w:p w:rsidR="00FC1BB6" w:rsidRDefault="0064705C" w:rsidP="0064705C">
      <w:p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A partir del 11 de mayo, también se reanudarán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las actividades de los centros de ocio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(grupos de un máximo de 15 personas),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la enseñanza a tiempo completo en escuelas de casas de acogida para niños, institutos educativos y diagnósticos, así como en las escuelas de los centros de atención de la salud</w:t>
      </w:r>
      <w:r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.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 xml:space="preserve"> 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También se r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eanudarán 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las </w:t>
      </w:r>
      <w:r w:rsidRPr="0064705C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actividades de las instalaciones de asesoramiento escolar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(</w:t>
      </w:r>
      <w:r w:rsidRPr="00FC1BB6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por ejemplo, centro de asesoramiento pedagógico-psicológico, centro pedagógico especial</w:t>
      </w:r>
      <w:r w:rsidRPr="0064705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).</w:t>
      </w:r>
    </w:p>
    <w:bookmarkEnd w:id="0"/>
    <w:p w:rsidR="00FC1BB6" w:rsidRDefault="00FC1BB6" w:rsidP="0064705C">
      <w:p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</w:p>
    <w:p w:rsidR="009317C1" w:rsidRDefault="009210C9" w:rsidP="0064705C">
      <w:p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9210C9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 xml:space="preserve">A partir del 25 de mayo, la presencia personal de alumnos de la educación primaria </w:t>
      </w:r>
      <w:r w:rsidR="004B3DFC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 xml:space="preserve">– primer grado </w:t>
      </w:r>
      <w:r w:rsidRPr="009210C9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>(1.-5. c</w:t>
      </w:r>
      <w:r w:rsidR="003E07C2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>urso</w:t>
      </w:r>
      <w:r w:rsidRPr="009210C9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>) será posible para las actividades educativas en forma de grupos escolares.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Sin embargo, la </w:t>
      </w: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asistencia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de los alumnos no será obligatoria. </w:t>
      </w:r>
      <w:r w:rsidRPr="009210C9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Como parte de la protección de los grupos de riesgo de trabajadores pedagógicos y no pedagógicos, así como de los alumnos y sus familiares, la educación a distancia continuará.</w:t>
      </w:r>
    </w:p>
    <w:p w:rsidR="009210C9" w:rsidRPr="009210C9" w:rsidRDefault="009210C9" w:rsidP="009317C1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El número recomendado de alumnos en un grupo escolar será de 15 y se p</w:t>
      </w:r>
      <w:r w:rsid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odrá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aumentar de acuerdo con las condiciones locales, pero se debe cumplir la condición de un niño en </w:t>
      </w:r>
      <w:r w:rsidR="003E07C2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cada </w:t>
      </w:r>
      <w:r w:rsid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pupitre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.</w:t>
      </w:r>
    </w:p>
    <w:p w:rsidR="009210C9" w:rsidRPr="0057280C" w:rsidRDefault="009210C9" w:rsidP="0057280C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La composición de los grupos será constante y el niño no podrá cambiar </w:t>
      </w:r>
      <w:r w:rsid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de</w:t>
      </w: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grupo. El contacto grupal será limitado.</w:t>
      </w:r>
    </w:p>
    <w:p w:rsidR="009210C9" w:rsidRPr="0057280C" w:rsidRDefault="009210C9" w:rsidP="0057280C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No se permitirán clubes </w:t>
      </w:r>
      <w:r w:rsid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extraescolares ni círculos de ocio </w:t>
      </w: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más allá de un grupo.</w:t>
      </w:r>
    </w:p>
    <w:p w:rsidR="009210C9" w:rsidRPr="0057280C" w:rsidRDefault="009210C9" w:rsidP="0057280C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Se prohibirá la </w:t>
      </w:r>
      <w:r w:rsid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educación</w:t>
      </w: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física.</w:t>
      </w:r>
    </w:p>
    <w:p w:rsidR="009210C9" w:rsidRPr="0057280C" w:rsidRDefault="009210C9" w:rsidP="0057280C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lastRenderedPageBreak/>
        <w:t>En cuanto a los comedores</w:t>
      </w:r>
      <w:r w:rsid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escolares</w:t>
      </w:r>
      <w:r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, su apertura estará sujeta a la situación epidemiológica actual y las condiciones locales, en particular la posibilidad de separar los grupos.</w:t>
      </w:r>
    </w:p>
    <w:p w:rsidR="009210C9" w:rsidRPr="0057280C" w:rsidRDefault="0057280C" w:rsidP="0057280C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En horario escolar</w:t>
      </w:r>
      <w:r w:rsidR="003E07C2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,</w:t>
      </w:r>
      <w:r w:rsidR="009210C9"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se recomendará</w:t>
      </w:r>
      <w:r w:rsidR="0033281B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el uso de una mascarilla, sin embargo,</w:t>
      </w:r>
      <w:r w:rsidR="009210C9"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el maestro decid</w:t>
      </w:r>
      <w:r w:rsidR="0033281B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irá sobre su uso según sea necesario</w:t>
      </w:r>
      <w:r w:rsidR="009210C9"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. En trabajos grupales y actividades en las proximidades, así como fuera del aula y en áreas comunes de las escuelas, las </w:t>
      </w:r>
      <w:r w:rsidR="0033281B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mascarillas</w:t>
      </w:r>
      <w:r w:rsidR="009210C9" w:rsidRPr="0057280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serán obligatorias.</w:t>
      </w:r>
    </w:p>
    <w:p w:rsidR="009210C9" w:rsidRPr="0033281B" w:rsidRDefault="009210C9" w:rsidP="009210C9">
      <w:pPr>
        <w:spacing w:after="160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</w:pPr>
      <w:r w:rsidRPr="0033281B">
        <w:rPr>
          <w:rFonts w:ascii="Times New Roman" w:eastAsia="Times New Roman" w:hAnsi="Times New Roman" w:cs="Times New Roman"/>
          <w:b/>
          <w:color w:val="000000"/>
          <w:u w:val="single"/>
          <w:lang w:val="es-ES" w:eastAsia="cs-CZ"/>
        </w:rPr>
        <w:t>Junio ​​de 2020</w:t>
      </w:r>
      <w:r w:rsidR="0033281B" w:rsidRPr="0033281B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 xml:space="preserve"> -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</w:t>
      </w:r>
      <w:r w:rsidRPr="0033281B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si la situación epidemiológica lo permite, se prevé la posibilidad de consultas o actividades educativas ocasionales para alumnos de </w:t>
      </w:r>
      <w:r w:rsidR="0033281B" w:rsidRPr="0033281B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la educación </w:t>
      </w:r>
      <w:r w:rsidR="004B3DFC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>primaria – segundo grado</w:t>
      </w:r>
      <w:r w:rsidR="0033281B" w:rsidRPr="0033281B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 (6-.9. c</w:t>
      </w:r>
      <w:r w:rsidR="003E07C2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>urso</w:t>
      </w:r>
      <w:r w:rsidR="0033281B" w:rsidRPr="0033281B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) y </w:t>
      </w:r>
      <w:r w:rsidR="004B3DFC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>escuelas secundarias</w:t>
      </w:r>
      <w:r w:rsidR="0033281B" w:rsidRPr="0033281B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 xml:space="preserve"> </w:t>
      </w:r>
      <w:r w:rsidRPr="0033281B">
        <w:rPr>
          <w:rFonts w:ascii="Times New Roman" w:eastAsia="Times New Roman" w:hAnsi="Times New Roman" w:cs="Times New Roman"/>
          <w:bCs/>
          <w:color w:val="000000"/>
          <w:u w:val="single"/>
          <w:lang w:val="es-ES" w:eastAsia="cs-CZ"/>
        </w:rPr>
        <w:t>.</w:t>
      </w:r>
    </w:p>
    <w:p w:rsidR="009210C9" w:rsidRPr="009210C9" w:rsidRDefault="009210C9" w:rsidP="009210C9">
      <w:pPr>
        <w:spacing w:after="160"/>
        <w:jc w:val="both"/>
        <w:rPr>
          <w:rFonts w:ascii="Times New Roman" w:eastAsia="Times New Roman" w:hAnsi="Times New Roman" w:cs="Times New Roman"/>
          <w:bCs/>
          <w:color w:val="000000"/>
          <w:lang w:val="es-ES" w:eastAsia="cs-CZ"/>
        </w:rPr>
      </w:pP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Se espera</w:t>
      </w:r>
      <w:r w:rsidR="0033281B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la posibilidad de realizar los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exámenes de </w:t>
      </w:r>
      <w:r w:rsidR="0033281B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selectividad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unificados y escolares para la educación en </w:t>
      </w:r>
      <w:r w:rsidR="004B3DFC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las escuelas secundarias</w:t>
      </w:r>
      <w:r w:rsidR="00FA1C6A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</w:t>
      </w:r>
      <w:r w:rsidR="00FA1C6A" w:rsidRPr="00FA1C6A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en</w:t>
      </w:r>
      <w:r w:rsidR="00FA1C6A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 xml:space="preserve"> </w:t>
      </w:r>
      <w:r w:rsidR="006C2779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j</w:t>
      </w:r>
      <w:r w:rsidR="00FA1C6A" w:rsidRPr="00FA1C6A">
        <w:rPr>
          <w:rFonts w:ascii="Times New Roman" w:eastAsia="Times New Roman" w:hAnsi="Times New Roman" w:cs="Times New Roman"/>
          <w:b/>
          <w:color w:val="000000"/>
          <w:lang w:val="es-ES" w:eastAsia="cs-CZ"/>
        </w:rPr>
        <w:t>unio</w:t>
      </w:r>
      <w:r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.</w:t>
      </w:r>
    </w:p>
    <w:p w:rsidR="00FA1C6A" w:rsidRDefault="00FA1C6A" w:rsidP="009210C9">
      <w:pPr>
        <w:spacing w:after="160"/>
        <w:jc w:val="both"/>
        <w:rPr>
          <w:rStyle w:val="Hypertextovodkaz"/>
          <w:rFonts w:ascii="Times New Roman" w:eastAsia="Times New Roman" w:hAnsi="Times New Roman" w:cs="Times New Roman"/>
          <w:bCs/>
          <w:lang w:val="es-ES"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>Fuente</w:t>
      </w:r>
      <w:r w:rsidR="009210C9" w:rsidRPr="009210C9">
        <w:rPr>
          <w:rFonts w:ascii="Times New Roman" w:eastAsia="Times New Roman" w:hAnsi="Times New Roman" w:cs="Times New Roman"/>
          <w:bCs/>
          <w:color w:val="000000"/>
          <w:lang w:val="es-ES" w:eastAsia="cs-CZ"/>
        </w:rPr>
        <w:t xml:space="preserve"> </w:t>
      </w:r>
      <w:hyperlink r:id="rId5" w:history="1">
        <w:r w:rsidRPr="00403034">
          <w:rPr>
            <w:rStyle w:val="Hypertextovodkaz"/>
            <w:rFonts w:ascii="Times New Roman" w:eastAsia="Times New Roman" w:hAnsi="Times New Roman" w:cs="Times New Roman"/>
            <w:bCs/>
            <w:lang w:val="es-ES" w:eastAsia="cs-CZ"/>
          </w:rPr>
          <w:t>http://www.msmt.cz/harmonogram-uvolnovani-opatreni-v-oblasti-skolstvi</w:t>
        </w:r>
      </w:hyperlink>
    </w:p>
    <w:p w:rsidR="008F5B5D" w:rsidRDefault="008F5B5D" w:rsidP="009210C9">
      <w:pPr>
        <w:spacing w:after="160"/>
        <w:jc w:val="both"/>
        <w:rPr>
          <w:rStyle w:val="Hypertextovodkaz"/>
          <w:rFonts w:ascii="Times New Roman" w:eastAsia="Times New Roman" w:hAnsi="Times New Roman" w:cs="Times New Roman"/>
          <w:bCs/>
          <w:lang w:val="es-ES" w:eastAsia="cs-CZ"/>
        </w:rPr>
      </w:pPr>
    </w:p>
    <w:p w:rsidR="008F5B5D" w:rsidRPr="008F5B5D" w:rsidRDefault="008F5B5D" w:rsidP="009210C9">
      <w:pPr>
        <w:spacing w:after="160"/>
        <w:jc w:val="both"/>
        <w:rPr>
          <w:rFonts w:ascii="Times New Roman" w:eastAsia="Times New Roman" w:hAnsi="Times New Roman" w:cs="Times New Roman"/>
          <w:bCs/>
          <w:lang w:val="es-ES" w:eastAsia="cs-CZ"/>
        </w:rPr>
      </w:pPr>
      <w:r w:rsidRPr="008F5B5D">
        <w:rPr>
          <w:rStyle w:val="Hypertextovodkaz"/>
          <w:rFonts w:ascii="Times New Roman" w:eastAsia="Times New Roman" w:hAnsi="Times New Roman" w:cs="Times New Roman"/>
          <w:bCs/>
          <w:color w:val="auto"/>
          <w:u w:val="none"/>
          <w:lang w:val="es-ES" w:eastAsia="cs-CZ"/>
        </w:rPr>
        <w:t>Actualizado el 04.05.2020</w:t>
      </w:r>
    </w:p>
    <w:sectPr w:rsidR="008F5B5D" w:rsidRPr="008F5B5D" w:rsidSect="008769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1B21"/>
    <w:multiLevelType w:val="hybridMultilevel"/>
    <w:tmpl w:val="4394E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19"/>
    <w:rsid w:val="00130A53"/>
    <w:rsid w:val="0033281B"/>
    <w:rsid w:val="003E07C2"/>
    <w:rsid w:val="00435929"/>
    <w:rsid w:val="004B3DFC"/>
    <w:rsid w:val="004C74DA"/>
    <w:rsid w:val="00525895"/>
    <w:rsid w:val="0057280C"/>
    <w:rsid w:val="00594233"/>
    <w:rsid w:val="00643D5D"/>
    <w:rsid w:val="0064705C"/>
    <w:rsid w:val="00683935"/>
    <w:rsid w:val="006C2779"/>
    <w:rsid w:val="00720B19"/>
    <w:rsid w:val="00785EB1"/>
    <w:rsid w:val="008625CF"/>
    <w:rsid w:val="0087696E"/>
    <w:rsid w:val="008C48B7"/>
    <w:rsid w:val="008F5B5D"/>
    <w:rsid w:val="009210C9"/>
    <w:rsid w:val="009317C1"/>
    <w:rsid w:val="00AD59DD"/>
    <w:rsid w:val="00EC257D"/>
    <w:rsid w:val="00FA1C6A"/>
    <w:rsid w:val="00F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E7D5C1"/>
  <w14:defaultImageDpi w14:val="32767"/>
  <w15:chartTrackingRefBased/>
  <w15:docId w15:val="{7D65BB61-954A-F14F-829B-777194EE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0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1C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FA1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harmonogram-uvolnovani-opatreni-v-oblasti-skol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4</cp:revision>
  <dcterms:created xsi:type="dcterms:W3CDTF">2020-05-06T18:02:00Z</dcterms:created>
  <dcterms:modified xsi:type="dcterms:W3CDTF">2020-05-07T11:43:00Z</dcterms:modified>
</cp:coreProperties>
</file>