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C7F" w:rsidRPr="0011427F" w:rsidRDefault="0011427F" w:rsidP="00E76D42">
      <w:pPr>
        <w:spacing w:after="120"/>
        <w:jc w:val="center"/>
        <w:rPr>
          <w:b/>
          <w:sz w:val="40"/>
          <w:szCs w:val="40"/>
        </w:rPr>
      </w:pPr>
      <w:r w:rsidRPr="0011427F">
        <w:rPr>
          <w:b/>
          <w:sz w:val="40"/>
          <w:szCs w:val="40"/>
        </w:rPr>
        <w:t>AN AFFIRMATION</w:t>
      </w:r>
    </w:p>
    <w:p w:rsidR="0011427F" w:rsidRDefault="0011427F" w:rsidP="00E76D42">
      <w:pPr>
        <w:spacing w:after="120"/>
        <w:jc w:val="center"/>
      </w:pPr>
      <w:r>
        <w:t>OF THE NON-EXISTENCE OF THE SYMPTOMS OF AN INFECTIOUS VIRAL DISEASE</w:t>
      </w:r>
    </w:p>
    <w:p w:rsidR="0011427F" w:rsidRDefault="0011427F" w:rsidP="00E76D42">
      <w:pPr>
        <w:spacing w:after="12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27F" w:rsidTr="006673B3">
        <w:tc>
          <w:tcPr>
            <w:tcW w:w="9016" w:type="dxa"/>
            <w:shd w:val="clear" w:color="auto" w:fill="33CCCC"/>
          </w:tcPr>
          <w:p w:rsidR="0011427F" w:rsidRDefault="0011427F" w:rsidP="00E76D42">
            <w:pPr>
              <w:spacing w:after="120"/>
              <w:rPr>
                <w:b/>
              </w:rPr>
            </w:pPr>
            <w:r>
              <w:rPr>
                <w:b/>
              </w:rPr>
              <w:t>Name and surname (</w:t>
            </w:r>
            <w:r>
              <w:rPr>
                <w:b/>
                <w:i/>
              </w:rPr>
              <w:t>of the child/pupil/student/participant in education)</w:t>
            </w:r>
          </w:p>
          <w:p w:rsidR="0011427F" w:rsidRDefault="0011427F" w:rsidP="00E76D42">
            <w:pPr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ab/>
            </w: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date of birth: </w:t>
            </w:r>
            <w:r>
              <w:rPr>
                <w:b/>
              </w:rPr>
              <w:tab/>
              <w:t xml:space="preserve"> </w:t>
            </w: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permanent residence: </w:t>
            </w:r>
            <w:r>
              <w:rPr>
                <w:b/>
              </w:rPr>
              <w:tab/>
            </w:r>
          </w:p>
          <w:p w:rsidR="0011427F" w:rsidRP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  <w:sz w:val="12"/>
                <w:szCs w:val="12"/>
              </w:rPr>
            </w:pPr>
          </w:p>
        </w:tc>
      </w:tr>
    </w:tbl>
    <w:p w:rsidR="00A95984" w:rsidRDefault="00A95984" w:rsidP="00E76D42">
      <w:pPr>
        <w:spacing w:after="120"/>
      </w:pPr>
    </w:p>
    <w:p w:rsidR="000621BE" w:rsidRDefault="00A95984" w:rsidP="00E76D42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I hereby </w:t>
      </w:r>
      <w:r w:rsidR="000621BE">
        <w:t>declare that the aforementioned child/pupil/student/participant in education is not displaying any symptoms of an infectious viral disease (</w:t>
      </w:r>
      <w:r w:rsidR="000621BE" w:rsidRPr="008E63BC">
        <w:rPr>
          <w:i/>
        </w:rPr>
        <w:t>for example, a fever, cough, shortness of breath, a sudden loss of appetite and smell etc.)</w:t>
      </w:r>
      <w:r w:rsidR="000621BE">
        <w:t xml:space="preserve"> and that this has also been the case for the last two weeks.</w:t>
      </w:r>
    </w:p>
    <w:p w:rsidR="000621BE" w:rsidRDefault="000621BE" w:rsidP="00A2561D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I hereby declare that I have been acquainted with the definition of </w:t>
      </w:r>
      <w:r w:rsidR="006673B3">
        <w:t xml:space="preserve">the </w:t>
      </w:r>
      <w:r>
        <w:t xml:space="preserve">risk factors </w:t>
      </w:r>
      <w:r w:rsidR="006673B3">
        <w:t xml:space="preserve">for individuals </w:t>
      </w:r>
      <w:r>
        <w:t>and with the recommendation that I should take these risk factors into account when deciding on any participation in educational activities.</w:t>
      </w:r>
    </w:p>
    <w:p w:rsidR="000621BE" w:rsidRDefault="000621BE" w:rsidP="00E76D42">
      <w:pPr>
        <w:pStyle w:val="Odstavecseseznamem"/>
        <w:spacing w:after="120"/>
      </w:pPr>
    </w:p>
    <w:p w:rsidR="00E76D42" w:rsidRDefault="000621BE" w:rsidP="00E76D42">
      <w:pPr>
        <w:spacing w:after="120"/>
      </w:pPr>
      <w:r>
        <w:t>In ………………………………………..</w:t>
      </w:r>
    </w:p>
    <w:p w:rsidR="00E76D42" w:rsidRDefault="00E76D42" w:rsidP="00E76D42">
      <w:pPr>
        <w:spacing w:after="120"/>
      </w:pPr>
      <w:r>
        <w:t>Dated ………………………………….</w:t>
      </w: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526"/>
        <w:gridCol w:w="4490"/>
      </w:tblGrid>
      <w:tr w:rsidR="00E76D42" w:rsidTr="008E63BC">
        <w:trPr>
          <w:gridBefore w:val="1"/>
          <w:wBefore w:w="4526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</w:p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The signature of the pupil/student/participant in education who is of age</w:t>
            </w:r>
          </w:p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or</w:t>
            </w:r>
          </w:p>
          <w:p w:rsidR="00E76D42" w:rsidRDefault="00E76D42" w:rsidP="00A2561D">
            <w:pPr>
              <w:pStyle w:val="Bezmezer"/>
              <w:jc w:val="center"/>
            </w:pPr>
            <w:r w:rsidRPr="00A2561D">
              <w:rPr>
                <w:rFonts w:asciiTheme="minorHAnsi" w:hAnsiTheme="minorHAnsi" w:cstheme="minorHAnsi"/>
              </w:rPr>
              <w:t>the signature of the minor’s legal guardian</w:t>
            </w:r>
          </w:p>
        </w:tc>
      </w:tr>
      <w:tr w:rsidR="00E76D42" w:rsidTr="008E63BC">
        <w:tc>
          <w:tcPr>
            <w:tcW w:w="9016" w:type="dxa"/>
            <w:gridSpan w:val="2"/>
            <w:shd w:val="clear" w:color="auto" w:fill="33CCCC"/>
          </w:tcPr>
          <w:p w:rsidR="00E76D42" w:rsidRPr="00E76D42" w:rsidRDefault="00E76D42" w:rsidP="00E76D42">
            <w:pPr>
              <w:spacing w:after="120"/>
              <w:rPr>
                <w:b/>
              </w:rPr>
            </w:pPr>
            <w:r>
              <w:rPr>
                <w:b/>
              </w:rPr>
              <w:t>Individuals with risk factors</w:t>
            </w:r>
          </w:p>
        </w:tc>
      </w:tr>
    </w:tbl>
    <w:p w:rsidR="00E76D42" w:rsidRDefault="00E76D42" w:rsidP="00E76D42">
      <w:pPr>
        <w:spacing w:after="120"/>
      </w:pPr>
      <w:r w:rsidRPr="00E76D42">
        <w:rPr>
          <w:b/>
        </w:rPr>
        <w:t xml:space="preserve">The </w:t>
      </w:r>
      <w:r>
        <w:rPr>
          <w:b/>
        </w:rPr>
        <w:t>Ministry of Health has designated the following risk factors:</w:t>
      </w:r>
    </w:p>
    <w:p w:rsidR="00E76D42" w:rsidRDefault="00E76D42" w:rsidP="00E76D42">
      <w:pPr>
        <w:pStyle w:val="Odstavecseseznamem"/>
        <w:numPr>
          <w:ilvl w:val="0"/>
          <w:numId w:val="2"/>
        </w:numPr>
        <w:spacing w:after="120"/>
      </w:pPr>
      <w:r>
        <w:t>Individuals over 65 years of age with secondary chronic illnesses</w:t>
      </w:r>
    </w:p>
    <w:p w:rsidR="00E76D42" w:rsidRDefault="00E76D42" w:rsidP="00E76D42">
      <w:pPr>
        <w:pStyle w:val="Odstavecseseznamem"/>
        <w:numPr>
          <w:ilvl w:val="0"/>
          <w:numId w:val="2"/>
        </w:numPr>
        <w:spacing w:after="120"/>
      </w:pPr>
      <w:r>
        <w:t>Chronic pulmonary illnesses (</w:t>
      </w:r>
      <w:r>
        <w:rPr>
          <w:i/>
        </w:rPr>
        <w:t xml:space="preserve">including </w:t>
      </w:r>
      <w:r w:rsidR="00696140">
        <w:rPr>
          <w:i/>
        </w:rPr>
        <w:t>moderate</w:t>
      </w:r>
      <w:r>
        <w:rPr>
          <w:i/>
        </w:rPr>
        <w:t xml:space="preserve"> and </w:t>
      </w:r>
      <w:r w:rsidR="00696140">
        <w:rPr>
          <w:i/>
        </w:rPr>
        <w:t xml:space="preserve">severe bronchial </w:t>
      </w:r>
      <w:r>
        <w:rPr>
          <w:i/>
        </w:rPr>
        <w:t>asthma</w:t>
      </w:r>
      <w:r w:rsidR="00696140">
        <w:rPr>
          <w:i/>
        </w:rPr>
        <w:t xml:space="preserve">) </w:t>
      </w:r>
      <w:r w:rsidR="00696140" w:rsidRPr="00696140">
        <w:t>with long-term systemic</w:t>
      </w:r>
      <w:r w:rsidR="00696140">
        <w:t xml:space="preserve"> pharmacological treatment.</w:t>
      </w:r>
      <w:r w:rsidR="00696140">
        <w:rPr>
          <w:i/>
        </w:rPr>
        <w:t xml:space="preserve"> </w:t>
      </w:r>
    </w:p>
    <w:p w:rsidR="00696140" w:rsidRDefault="00696140" w:rsidP="00E76D42">
      <w:pPr>
        <w:pStyle w:val="Odstavecseseznamem"/>
        <w:numPr>
          <w:ilvl w:val="0"/>
          <w:numId w:val="2"/>
        </w:numPr>
        <w:spacing w:after="120"/>
      </w:pPr>
      <w:r>
        <w:t xml:space="preserve">Cardiac illnesses and/or </w:t>
      </w:r>
      <w:r w:rsidR="00A2561D">
        <w:t xml:space="preserve">disorders of the </w:t>
      </w:r>
      <w:r>
        <w:t>major blood vessel</w:t>
      </w:r>
      <w:r w:rsidR="00A2561D">
        <w:t>s</w:t>
      </w:r>
      <w:r>
        <w:t xml:space="preserve"> </w:t>
      </w:r>
      <w:r w:rsidRPr="00696140">
        <w:t>with long-term systemic</w:t>
      </w:r>
      <w:r>
        <w:t xml:space="preserve"> pharmacological treatment, for example hypertension.</w:t>
      </w:r>
    </w:p>
    <w:p w:rsidR="00696140" w:rsidRDefault="00696140" w:rsidP="00E76D42">
      <w:pPr>
        <w:pStyle w:val="Odstavecseseznamem"/>
        <w:numPr>
          <w:ilvl w:val="0"/>
          <w:numId w:val="2"/>
        </w:numPr>
        <w:spacing w:after="120"/>
      </w:pPr>
      <w:r>
        <w:t>Disorders of the immune system, for example</w:t>
      </w:r>
    </w:p>
    <w:p w:rsidR="00696140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during immunosuppressive treatments (</w:t>
      </w:r>
      <w:r>
        <w:rPr>
          <w:i/>
        </w:rPr>
        <w:t>steroids, HIV and so on</w:t>
      </w:r>
      <w:r>
        <w:t>)</w:t>
      </w:r>
    </w:p>
    <w:p w:rsidR="0084447A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during the treatment of tumours</w:t>
      </w:r>
    </w:p>
    <w:p w:rsidR="0084447A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after the transplantation of solid organs and/or bone marrow</w:t>
      </w:r>
    </w:p>
    <w:p w:rsidR="0084447A" w:rsidRDefault="0084447A" w:rsidP="0084447A">
      <w:pPr>
        <w:pStyle w:val="Odstavecseseznamem"/>
        <w:numPr>
          <w:ilvl w:val="0"/>
          <w:numId w:val="2"/>
        </w:numPr>
        <w:spacing w:after="120"/>
      </w:pPr>
      <w:r>
        <w:t>Severe obesity (a BMI in excess of 40 kg/m</w:t>
      </w:r>
      <w:r w:rsidRPr="0084447A">
        <w:rPr>
          <w:vertAlign w:val="superscript"/>
        </w:rPr>
        <w:t>2</w:t>
      </w:r>
      <w:r>
        <w:t>).</w:t>
      </w:r>
    </w:p>
    <w:p w:rsidR="0084447A" w:rsidRDefault="0084447A" w:rsidP="0084447A">
      <w:pPr>
        <w:pStyle w:val="Odstavecseseznamem"/>
        <w:numPr>
          <w:ilvl w:val="0"/>
          <w:numId w:val="2"/>
        </w:numPr>
        <w:spacing w:after="120"/>
      </w:pPr>
      <w:r>
        <w:t>Pharmacologically treated diabetes mellitus</w:t>
      </w:r>
      <w:r w:rsidR="00704365">
        <w:t>.</w:t>
      </w:r>
    </w:p>
    <w:p w:rsidR="00704365" w:rsidRDefault="00704365" w:rsidP="0084447A">
      <w:pPr>
        <w:pStyle w:val="Odstavecseseznamem"/>
        <w:numPr>
          <w:ilvl w:val="0"/>
          <w:numId w:val="2"/>
        </w:numPr>
        <w:spacing w:after="120"/>
      </w:pPr>
      <w:r>
        <w:t>Chronic kidney disorders requiring the temporary or permanent support/replacement of the kidneys (</w:t>
      </w:r>
      <w:r>
        <w:rPr>
          <w:i/>
        </w:rPr>
        <w:t>dialysis</w:t>
      </w:r>
      <w:r>
        <w:t>).</w:t>
      </w:r>
    </w:p>
    <w:p w:rsidR="00704365" w:rsidRDefault="00704365" w:rsidP="0084447A">
      <w:pPr>
        <w:pStyle w:val="Odstavecseseznamem"/>
        <w:numPr>
          <w:ilvl w:val="0"/>
          <w:numId w:val="2"/>
        </w:numPr>
        <w:spacing w:after="120"/>
      </w:pPr>
      <w:r>
        <w:t>Liver disease (</w:t>
      </w:r>
      <w:r>
        <w:rPr>
          <w:i/>
        </w:rPr>
        <w:t>primary or secondary</w:t>
      </w:r>
      <w:r>
        <w:t>).</w:t>
      </w:r>
    </w:p>
    <w:p w:rsidR="00A95984" w:rsidRPr="0011427F" w:rsidRDefault="00704365" w:rsidP="00E76D42">
      <w:pPr>
        <w:spacing w:after="120"/>
      </w:pPr>
      <w:r>
        <w:t>Any individual who complies with at least one point from the list above or who lives in a common household with any person who complies with any of the stated points falls under the at-risk group.</w:t>
      </w:r>
    </w:p>
    <w:sectPr w:rsidR="00A95984" w:rsidRPr="0011427F" w:rsidSect="008E63BC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7238E"/>
    <w:multiLevelType w:val="hybridMultilevel"/>
    <w:tmpl w:val="A56CB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111105"/>
    <w:multiLevelType w:val="hybridMultilevel"/>
    <w:tmpl w:val="90381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C"/>
    <w:rsid w:val="000410B4"/>
    <w:rsid w:val="000621BE"/>
    <w:rsid w:val="0011427F"/>
    <w:rsid w:val="00141DCC"/>
    <w:rsid w:val="00166B6F"/>
    <w:rsid w:val="00300F1A"/>
    <w:rsid w:val="003711DF"/>
    <w:rsid w:val="003E3A50"/>
    <w:rsid w:val="003F0810"/>
    <w:rsid w:val="0046052C"/>
    <w:rsid w:val="00494C7F"/>
    <w:rsid w:val="005A57E7"/>
    <w:rsid w:val="00615452"/>
    <w:rsid w:val="006673B3"/>
    <w:rsid w:val="00696140"/>
    <w:rsid w:val="006964A7"/>
    <w:rsid w:val="00704365"/>
    <w:rsid w:val="00724239"/>
    <w:rsid w:val="007631F6"/>
    <w:rsid w:val="007F2B58"/>
    <w:rsid w:val="0084447A"/>
    <w:rsid w:val="008E63BC"/>
    <w:rsid w:val="009B67C0"/>
    <w:rsid w:val="00A2561D"/>
    <w:rsid w:val="00A95984"/>
    <w:rsid w:val="00B16FFC"/>
    <w:rsid w:val="00C957DA"/>
    <w:rsid w:val="00CB1D6B"/>
    <w:rsid w:val="00CB678E"/>
    <w:rsid w:val="00D538E6"/>
    <w:rsid w:val="00DE6A9C"/>
    <w:rsid w:val="00E76D42"/>
    <w:rsid w:val="00E961F2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C0BF"/>
  <w15:chartTrackingRefBased/>
  <w15:docId w15:val="{F2D3B5F8-37FD-4B93-8439-8888CEF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B6F"/>
    <w:pPr>
      <w:spacing w:after="0" w:line="240" w:lineRule="auto"/>
    </w:pPr>
    <w:rPr>
      <w:rFonts w:ascii="Arial" w:hAnsi="Arial"/>
    </w:rPr>
  </w:style>
  <w:style w:type="table" w:styleId="Mkatabulky">
    <w:name w:val="Table Grid"/>
    <w:basedOn w:val="Normlntabulka"/>
    <w:uiPriority w:val="39"/>
    <w:rsid w:val="0011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Karel Kolář</cp:lastModifiedBy>
  <cp:revision>7</cp:revision>
  <dcterms:created xsi:type="dcterms:W3CDTF">2020-05-05T05:25:00Z</dcterms:created>
  <dcterms:modified xsi:type="dcterms:W3CDTF">2020-05-07T06:58:00Z</dcterms:modified>
</cp:coreProperties>
</file>